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ns w:id="0" w:author="邝美云" w:date="2019-12-17T10:47:00Z"/>
        </w:numPr>
        <w:spacing w:line="580" w:lineRule="exact"/>
        <w:jc w:val="both"/>
        <w:rPr>
          <w:rFonts w:hint="eastAsia" w:ascii="黑体" w:hAnsi="方正小标宋_GBK" w:eastAsia="黑体" w:cs="方正小标宋_GBK"/>
          <w:sz w:val="32"/>
          <w:szCs w:val="32"/>
        </w:rPr>
      </w:pPr>
      <w:r>
        <w:rPr>
          <w:rFonts w:hint="eastAsia" w:ascii="黑体" w:hAnsi="方正小标宋_GBK" w:eastAsia="黑体" w:cs="方正小标宋_GBK"/>
          <w:sz w:val="32"/>
          <w:szCs w:val="32"/>
        </w:rPr>
        <w:t>附件</w:t>
      </w:r>
    </w:p>
    <w:p>
      <w:pPr>
        <w:numPr>
          <w:ins w:id="1" w:author="邝美云" w:date="2019-12-17T10:47:00Z"/>
        </w:numPr>
        <w:spacing w:line="580" w:lineRule="exact"/>
        <w:jc w:val="both"/>
        <w:rPr>
          <w:rFonts w:hint="eastAsia" w:ascii="黑体" w:hAnsi="方正小标宋_GBK" w:eastAsia="黑体" w:cs="方正小标宋_GBK"/>
          <w:sz w:val="32"/>
          <w:szCs w:val="32"/>
        </w:rPr>
      </w:pPr>
    </w:p>
    <w:p>
      <w:pPr>
        <w:spacing w:line="580" w:lineRule="exact"/>
        <w:jc w:val="center"/>
        <w:rPr>
          <w:rFonts w:hint="eastAsia" w:ascii="方正小标宋_GBK" w:hAnsi="方正小标宋_GBK" w:eastAsia="方正小标宋_GBK" w:cs="方正小标宋_GBK"/>
          <w:b w:val="0"/>
          <w:sz w:val="44"/>
          <w:szCs w:val="44"/>
        </w:rPr>
      </w:pPr>
      <w:bookmarkStart w:id="0" w:name="_GoBack"/>
      <w:r>
        <w:rPr>
          <w:rFonts w:hint="eastAsia" w:ascii="方正小标宋_GBK" w:hAnsi="方正小标宋_GBK" w:eastAsia="方正小标宋_GBK" w:cs="方正小标宋_GBK"/>
          <w:b w:val="0"/>
          <w:sz w:val="44"/>
          <w:szCs w:val="44"/>
        </w:rPr>
        <w:t>关于对严重危害正常医疗秩序的失信行为责任人实施联合惩戒合作备忘录</w:t>
      </w:r>
    </w:p>
    <w:bookmarkEnd w:id="0"/>
    <w:p>
      <w:pPr>
        <w:spacing w:line="580" w:lineRule="exact"/>
        <w:rPr>
          <w:rFonts w:hint="eastAsia"/>
          <w:sz w:val="24"/>
        </w:rPr>
      </w:pPr>
      <w:r>
        <w:rPr>
          <w:rFonts w:hint="eastAsia"/>
          <w:sz w:val="24"/>
        </w:rPr>
        <w:t xml:space="preserve">                   </w:t>
      </w:r>
      <w:r>
        <w:rPr>
          <w:rFonts w:hint="eastAsia"/>
          <w:sz w:val="32"/>
          <w:szCs w:val="32"/>
        </w:rPr>
        <w:t xml:space="preserve">      </w:t>
      </w:r>
    </w:p>
    <w:p>
      <w:pPr>
        <w:spacing w:line="580" w:lineRule="exact"/>
        <w:ind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为全面贯彻党的十九大和十九届二中、三中、四中全会精神，以习近平新时代中国特色社会主义思想为指导，全面落实《国务院关于建立完善守信联合激励和失信联合惩戒制度加快推进社会诚信建设的指导意见》（国发〔2016〕33号）和《国务院关于印发社会信用体系建设规划纲要（2014—2020年）的通知》（国发〔2014〕21号）等有关文件要求，加快推进医疗服务领域信用体系建设，打击暴力杀医伤医以及在医疗机构寻衅滋事等严重危害正常医疗秩序的失信行为，建立健全失信联合惩戒机制，市卫生健康委、市发展改革委、市委组织部、市委宣传部、市委编办、市文明办、市委网信办、市公安局、</w:t>
      </w:r>
      <w:r>
        <w:rPr>
          <w:rFonts w:hint="eastAsia" w:ascii="仿宋_GB2312" w:hAnsi="仿宋_GB2312" w:eastAsia="仿宋_GB2312" w:cs="仿宋_GB2312"/>
          <w:color w:val="auto"/>
          <w:sz w:val="32"/>
          <w:szCs w:val="32"/>
        </w:rPr>
        <w:t>市人力资源社会保障</w:t>
      </w:r>
      <w:r>
        <w:rPr>
          <w:rFonts w:hint="eastAsia" w:ascii="仿宋_GB2312" w:hAnsi="仿宋_GB2312" w:eastAsia="仿宋_GB2312" w:cs="仿宋_GB2312"/>
          <w:sz w:val="32"/>
          <w:szCs w:val="32"/>
        </w:rPr>
        <w:t xml:space="preserve">局、市商务局、市文化广电旅游局、市国资委、广州海关、黄埔海关、市市场监管局、市总工会、共青团市委、市妇联等部门就医疗服务领域涉医违法犯罪行为人开展联合惩戒工作达成以下意见。 </w:t>
      </w:r>
    </w:p>
    <w:p>
      <w:pPr>
        <w:spacing w:line="580" w:lineRule="exact"/>
        <w:rPr>
          <w:rFonts w:hint="eastAsia" w:ascii="黑体" w:hAnsi="黑体" w:eastAsia="黑体"/>
          <w:b w:val="0"/>
          <w:sz w:val="32"/>
          <w:szCs w:val="32"/>
        </w:rPr>
      </w:pPr>
      <w:r>
        <w:rPr>
          <w:rFonts w:hint="eastAsia" w:ascii="黑体" w:hAnsi="黑体" w:eastAsia="黑体" w:cs="黑体"/>
          <w:b/>
          <w:sz w:val="36"/>
          <w:szCs w:val="36"/>
        </w:rPr>
        <w:t xml:space="preserve">   </w:t>
      </w:r>
      <w:r>
        <w:rPr>
          <w:rFonts w:hint="eastAsia" w:ascii="黑体" w:hAnsi="黑体" w:eastAsia="黑体" w:cs="黑体"/>
          <w:b w:val="0"/>
          <w:sz w:val="32"/>
          <w:szCs w:val="32"/>
        </w:rPr>
        <w:t xml:space="preserve"> 一、联合惩戒的对象</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惩戒对象是指因实施或参与涉医违法犯罪活动，被公安机关处以行政拘留以上处罚，或被司法机关追究刑事责任的严重危害正常医疗秩序的自然人。本备忘录中所提及的严重危害正常医疗秩序的失信行为是指倒卖医院号源、在医院非法张贴广告，以及2014年4月28日最高人民法院、最高人民检察院、公安部、原国家卫生计生委联合印发的《关于依法惩处涉医违法犯罪维护正常医疗秩序的意见》和2019年2月28日最高人民法院、最高人民检察院、公安部印发《关于依法处理信访活动中违法犯罪行为指导意见》中所列举的涉医违法犯罪活动。其违法犯罪活动主要包括以下情形：</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（一）在医疗机构内故意伤害医务人员、损毁公私财物的；</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（二）扰乱医疗秩序的；</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（三）非法限制医务人员人身自由的；</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（四）侮辱恐吓医务人员的；</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（五）非法携带枪支、弹药、管制器具或危险品进入医疗机构的；</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（六）教唆他人或以受他人委托为名实施涉医违法犯罪行为的。</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（七）卫生健康部门认定</w:t>
      </w:r>
      <w:r>
        <w:rPr>
          <w:rFonts w:hint="eastAsia" w:ascii="仿宋_GB2312" w:hAnsi="仿宋_GB2312" w:eastAsia="仿宋_GB2312" w:cs="仿宋_GB2312"/>
          <w:color w:val="auto"/>
          <w:sz w:val="32"/>
          <w:szCs w:val="32"/>
        </w:rPr>
        <w:t>的其它情形</w:t>
      </w:r>
      <w:r>
        <w:rPr>
          <w:rFonts w:hint="eastAsia" w:ascii="仿宋_GB2312" w:hAnsi="仿宋_GB2312" w:eastAsia="仿宋_GB2312" w:cs="仿宋_GB2312"/>
          <w:sz w:val="32"/>
          <w:szCs w:val="32"/>
        </w:rPr>
        <w:t>。</w:t>
      </w:r>
    </w:p>
    <w:p>
      <w:pPr>
        <w:spacing w:line="580" w:lineRule="exact"/>
        <w:ind w:firstLine="465"/>
        <w:rPr>
          <w:rFonts w:hint="eastAsia" w:ascii="黑体" w:hAnsi="黑体" w:eastAsia="黑体" w:cs="黑体"/>
          <w:b w:val="0"/>
          <w:sz w:val="32"/>
          <w:szCs w:val="32"/>
        </w:rPr>
      </w:pPr>
      <w:r>
        <w:rPr>
          <w:rFonts w:hint="eastAsia" w:ascii="黑体" w:hAnsi="黑体" w:eastAsia="黑体" w:cs="黑体"/>
          <w:b w:val="0"/>
          <w:sz w:val="32"/>
          <w:szCs w:val="32"/>
        </w:rPr>
        <w:t>二、跨部门联合惩戒措施</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（一）限制补贴性资金支持。</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（实施单位：市发展改革委、市国资委）</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（二）将其严重危险正常医疗秩序的失信行为作为限制享受优惠性政策的重要参考因素。</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（实施单位：市发展改革委、市商务局、（广州、黄埔）海关、市市场监管局）</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（三）限制担任国有企业法定代表人、董事、监事、高级管理人员。</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（实施单位：市委组织部、市国资委、市市场监管局）</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（四）限制登记为事业单位法定代表人。</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（实施单位：市委编办）</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（五）限制招录（聘）为公务员或事业单位工作人员。</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（实施单位：市委组织部、市人社局）</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（六）按程序及时撤销相关荣誉，取消惩戒对象参加评先评优资格，不得向惩戒对象授予“道德模范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劳动模范</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五一劳动奖章”等荣誉。</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（实施单位：市文明办、市总工会、共青团市委、市妇联等有关单位）</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（七）将严重危害正常医疗秩序的失信行为人纳入全国信用信息共享平台并通报其所在单位。</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（实施单位：市卫生健康委、市公安局）</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（八）将严重危害正常医疗秩序的失信行为人通过“信用中国”网站及市属新闻网站等向社会公布。</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（实施单位：市委宣传部、市委网信办）</w:t>
      </w:r>
    </w:p>
    <w:p>
      <w:pPr>
        <w:spacing w:line="58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（九）依法限制失信主体申请认证（含认证证书延续）；认证机构加大对失信企业的证后监督力度，依法撤销或者暂停相关认证证书。</w:t>
      </w:r>
    </w:p>
    <w:p>
      <w:pPr>
        <w:spacing w:line="58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（实施单位：市市场监管局）</w:t>
      </w:r>
    </w:p>
    <w:p>
      <w:pPr>
        <w:spacing w:line="580" w:lineRule="exact"/>
        <w:ind w:firstLine="48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（十）限制享受投资等领域优惠政策。</w:t>
      </w:r>
    </w:p>
    <w:p>
      <w:pPr>
        <w:spacing w:line="580" w:lineRule="exact"/>
        <w:ind w:firstLine="480"/>
        <w:rPr>
          <w:rFonts w:hint="eastAsia" w:ascii="宋体" w:hAnsi="宋体"/>
          <w:sz w:val="24"/>
        </w:rPr>
      </w:pPr>
      <w:r>
        <w:rPr>
          <w:rFonts w:hint="eastAsia" w:ascii="仿宋_GB2312" w:hAnsi="仿宋_GB2312" w:eastAsia="仿宋_GB2312" w:cs="仿宋_GB2312"/>
          <w:sz w:val="32"/>
          <w:szCs w:val="32"/>
        </w:rPr>
        <w:t xml:space="preserve"> （实施单位：市发展改革委等有关单位）</w:t>
      </w:r>
    </w:p>
    <w:p>
      <w:pPr>
        <w:spacing w:line="580" w:lineRule="exact"/>
        <w:ind w:firstLine="0"/>
        <w:rPr>
          <w:rFonts w:hint="eastAsia" w:ascii="黑体" w:hAnsi="黑体" w:eastAsia="黑体" w:cs="黑体"/>
          <w:b w:val="0"/>
          <w:sz w:val="32"/>
          <w:szCs w:val="32"/>
        </w:rPr>
      </w:pPr>
      <w:r>
        <w:rPr>
          <w:rFonts w:hint="eastAsia" w:ascii="黑体" w:hAnsi="黑体" w:eastAsia="黑体" w:cs="黑体"/>
          <w:b/>
          <w:sz w:val="36"/>
          <w:szCs w:val="36"/>
        </w:rPr>
        <w:t xml:space="preserve">    </w:t>
      </w:r>
      <w:r>
        <w:rPr>
          <w:rFonts w:hint="eastAsia" w:ascii="黑体" w:hAnsi="黑体" w:eastAsia="黑体" w:cs="黑体"/>
          <w:b w:val="0"/>
          <w:sz w:val="32"/>
          <w:szCs w:val="32"/>
        </w:rPr>
        <w:t>三、联合惩戒实施方式</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（一）公安局向卫生健康委提供严重危害正常医疗秩序的失信行为人名单信息。卫生健康</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sz w:val="32"/>
          <w:szCs w:val="32"/>
        </w:rPr>
        <w:t>通过信用信息共享平台向参与联合惩戒的部门提供该名单信息。相关部门收到相关名单后根据本备忘录约定的内容对其实施惩戒。</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（二）建立惩戒效果定期通报机制，相关部门定期将联合惩戒措施的实施情况通过信用信息共享平台反馈至市发展改革委和市卫生健康</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sz w:val="32"/>
          <w:szCs w:val="32"/>
        </w:rPr>
        <w:t>。</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涉及地方事权的，由地方公安机关定期向当地卫生健康行政部门提供严重危害正常医疗秩序的失信行为人名单信息。地方卫生健康行政部门将公安机关提供的严重危害正常医疗秩序的失信行为人员名单推送至其他部门，由其他部门按照本备忘录采取惩戒措施。</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（四）建立联合惩戒退出机制。联合惩戒的实施期限自行为人被治安或刑事处罚结束之日计算，满五年为止。</w:t>
      </w:r>
      <w:r>
        <w:rPr>
          <w:rFonts w:hint="eastAsia" w:ascii="仿宋_GB2312" w:hAnsi="仿宋_GB2312" w:eastAsia="仿宋_GB2312" w:cs="仿宋_GB2312"/>
          <w:color w:val="auto"/>
          <w:sz w:val="32"/>
          <w:szCs w:val="32"/>
        </w:rPr>
        <w:t>期间</w:t>
      </w:r>
      <w:r>
        <w:rPr>
          <w:rFonts w:hint="eastAsia" w:ascii="仿宋_GB2312" w:hAnsi="仿宋_GB2312" w:eastAsia="仿宋_GB2312" w:cs="仿宋_GB2312"/>
          <w:sz w:val="32"/>
          <w:szCs w:val="32"/>
        </w:rPr>
        <w:t>再次发生严重危害正常医疗秩序的失信行为的，惩戒期限累加计算。惩戒实施期限届满即退出联合惩戒。</w:t>
      </w:r>
    </w:p>
    <w:p>
      <w:pPr>
        <w:spacing w:line="580" w:lineRule="exact"/>
        <w:ind w:firstLine="0"/>
        <w:rPr>
          <w:rFonts w:hint="eastAsia" w:ascii="黑体" w:hAnsi="黑体" w:eastAsia="黑体" w:cs="黑体"/>
          <w:b w:val="0"/>
          <w:sz w:val="32"/>
          <w:szCs w:val="32"/>
        </w:rPr>
      </w:pPr>
      <w:r>
        <w:rPr>
          <w:rFonts w:hint="eastAsia" w:ascii="黑体" w:hAnsi="黑体" w:eastAsia="黑体" w:cs="黑体"/>
          <w:sz w:val="32"/>
          <w:szCs w:val="32"/>
        </w:rPr>
        <w:t xml:space="preserve">    </w:t>
      </w:r>
      <w:r>
        <w:rPr>
          <w:rFonts w:hint="eastAsia" w:ascii="黑体" w:hAnsi="黑体" w:eastAsia="黑体" w:cs="黑体"/>
          <w:b w:val="0"/>
          <w:sz w:val="32"/>
          <w:szCs w:val="32"/>
        </w:rPr>
        <w:t>四、联合惩戒动态管理</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卫生健康</w:t>
      </w:r>
      <w:r>
        <w:rPr>
          <w:rFonts w:hint="eastAsia" w:ascii="仿宋_GB2312" w:hAnsi="仿宋_GB2312" w:eastAsia="仿宋_GB2312" w:cs="仿宋_GB2312"/>
          <w:color w:val="auto"/>
          <w:sz w:val="32"/>
          <w:szCs w:val="32"/>
        </w:rPr>
        <w:t>委</w:t>
      </w:r>
      <w:r>
        <w:rPr>
          <w:rFonts w:hint="eastAsia" w:ascii="仿宋_GB2312" w:hAnsi="仿宋_GB2312" w:eastAsia="仿宋_GB2312" w:cs="仿宋_GB2312"/>
          <w:sz w:val="32"/>
          <w:szCs w:val="32"/>
        </w:rPr>
        <w:t>对严重危害正常医疗秩序的失信行为等严重违法违规名单进行动态管理，及时补充、撤销和更新相关信息，并及时推送至参与严重危害正常医疗秩序的失信行为联合惩戒的相关部门，对于从该严重违法违规名单中撤销的主体，相关部门应当及时停止实施惩戒措施。</w:t>
      </w:r>
    </w:p>
    <w:p>
      <w:pPr>
        <w:spacing w:line="580" w:lineRule="exact"/>
        <w:ind w:firstLine="0"/>
        <w:rPr>
          <w:rFonts w:hint="eastAsia" w:ascii="黑体" w:hAnsi="黑体" w:eastAsia="黑体" w:cs="黑体"/>
          <w:b w:val="0"/>
          <w:sz w:val="32"/>
          <w:szCs w:val="32"/>
        </w:rPr>
      </w:pPr>
      <w:r>
        <w:rPr>
          <w:rFonts w:hint="eastAsia" w:ascii="黑体" w:hAnsi="黑体" w:eastAsia="黑体" w:cs="黑体"/>
          <w:b/>
          <w:sz w:val="36"/>
          <w:szCs w:val="36"/>
        </w:rPr>
        <w:t xml:space="preserve">    </w:t>
      </w:r>
      <w:r>
        <w:rPr>
          <w:rFonts w:hint="eastAsia" w:ascii="黑体" w:hAnsi="黑体" w:eastAsia="黑体" w:cs="黑体"/>
          <w:b w:val="0"/>
          <w:sz w:val="32"/>
          <w:szCs w:val="32"/>
        </w:rPr>
        <w:t>五、其他事项</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各部门应当密切协作，积极落实本备忘录。实施过程中涉及部门之间协调配合的问题，由各部门协商解决。</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本备忘录签署后，各项惩戒措施所依据的法律、法规、规章及规范性文件有修改或调整的，以修改后的法律、法规、规章及规范性文件为准。</w:t>
      </w:r>
    </w:p>
    <w:p>
      <w:p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numPr>
          <w:ins w:id="2" w:author="Unknown" w:date="2019-12-03T14:36:00Z"/>
        </w:numPr>
        <w:spacing w:line="580" w:lineRule="exact"/>
        <w:ind w:firstLine="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附表：联合惩戒措施相关依据和实施单位</w:t>
      </w:r>
    </w:p>
    <w:p>
      <w:pPr>
        <w:numPr>
          <w:ins w:id="3" w:author="Unknown" w:date="2019-12-03T14:36:00Z"/>
        </w:numPr>
        <w:spacing w:line="580" w:lineRule="exact"/>
        <w:ind w:firstLine="160"/>
        <w:rPr>
          <w:rFonts w:hint="eastAsia" w:ascii="仿宋_GB2312" w:hAnsi="仿宋_GB2312" w:eastAsia="仿宋_GB2312" w:cs="仿宋_GB2312"/>
          <w:sz w:val="32"/>
          <w:szCs w:val="32"/>
        </w:rPr>
      </w:pPr>
    </w:p>
    <w:p>
      <w:pPr>
        <w:numPr>
          <w:ins w:id="4" w:author="Unknown" w:date="2019-12-03T14:36:00Z"/>
        </w:numPr>
        <w:spacing w:line="580" w:lineRule="exact"/>
        <w:ind w:firstLine="160"/>
        <w:rPr>
          <w:rFonts w:hint="eastAsia" w:ascii="仿宋_GB2312" w:hAnsi="仿宋_GB2312" w:eastAsia="仿宋_GB2312" w:cs="仿宋_GB2312"/>
          <w:sz w:val="32"/>
          <w:szCs w:val="32"/>
        </w:rPr>
      </w:pPr>
    </w:p>
    <w:p>
      <w:pPr>
        <w:numPr>
          <w:ins w:id="5" w:author="Unknown" w:date="2019-12-03T14:36:00Z"/>
        </w:numPr>
        <w:spacing w:line="580" w:lineRule="exact"/>
        <w:ind w:firstLine="160"/>
        <w:rPr>
          <w:rFonts w:hint="eastAsia" w:ascii="仿宋_GB2312" w:hAnsi="仿宋_GB2312" w:eastAsia="仿宋_GB2312" w:cs="仿宋_GB2312"/>
          <w:sz w:val="32"/>
          <w:szCs w:val="32"/>
        </w:rPr>
      </w:pPr>
    </w:p>
    <w:p>
      <w:pPr>
        <w:numPr>
          <w:ins w:id="6" w:author="Unknown" w:date="2019-12-03T14:36:00Z"/>
        </w:numPr>
        <w:spacing w:line="580" w:lineRule="exact"/>
        <w:ind w:firstLine="160"/>
        <w:rPr>
          <w:rFonts w:hint="eastAsia" w:ascii="仿宋_GB2312" w:hAnsi="仿宋_GB2312" w:eastAsia="仿宋_GB2312" w:cs="仿宋_GB2312"/>
          <w:sz w:val="32"/>
          <w:szCs w:val="32"/>
        </w:rPr>
      </w:pPr>
    </w:p>
    <w:p>
      <w:pPr>
        <w:numPr>
          <w:ins w:id="7" w:author="Unknown" w:date="2019-12-03T14:36:00Z"/>
        </w:numPr>
        <w:spacing w:line="580" w:lineRule="exact"/>
        <w:ind w:firstLine="0"/>
        <w:rPr>
          <w:rFonts w:hint="eastAsia" w:ascii="仿宋_GB2312" w:hAnsi="仿宋_GB2312" w:eastAsia="仿宋_GB2312" w:cs="仿宋_GB2312"/>
          <w:sz w:val="32"/>
          <w:szCs w:val="32"/>
        </w:rPr>
      </w:pPr>
    </w:p>
    <w:p>
      <w:pPr>
        <w:numPr>
          <w:ins w:id="8" w:author="邝美云" w:date="2019-12-17T10:39:00Z"/>
        </w:numPr>
        <w:spacing w:line="580" w:lineRule="exact"/>
        <w:ind w:firstLine="0"/>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sz w:val="32"/>
          <w:szCs w:val="32"/>
        </w:rPr>
      </w:pPr>
    </w:p>
    <w:p>
      <w:pPr>
        <w:numPr>
          <w:ins w:id="9" w:author="邝美云" w:date="2019-12-17T10:39:00Z"/>
        </w:numPr>
        <w:spacing w:line="580" w:lineRule="exact"/>
        <w:ind w:firstLine="0"/>
        <w:rPr>
          <w:rFonts w:hint="eastAsia" w:ascii="仿宋_GB2312" w:hAnsi="仿宋_GB2312" w:eastAsia="仿宋_GB2312" w:cs="仿宋_GB2312"/>
          <w:sz w:val="32"/>
          <w:szCs w:val="32"/>
        </w:rPr>
      </w:pPr>
    </w:p>
    <w:p>
      <w:pPr>
        <w:numPr>
          <w:ins w:id="10" w:author="邝美云" w:date="2019-12-17T10:39:00Z"/>
        </w:numPr>
        <w:spacing w:line="580" w:lineRule="exact"/>
        <w:ind w:firstLine="0"/>
        <w:rPr>
          <w:rFonts w:hint="eastAsia" w:ascii="仿宋_GB2312" w:hAnsi="仿宋_GB2312" w:eastAsia="仿宋_GB2312" w:cs="仿宋_GB2312"/>
          <w:sz w:val="32"/>
          <w:szCs w:val="32"/>
        </w:rPr>
      </w:pPr>
    </w:p>
    <w:p>
      <w:pPr>
        <w:numPr>
          <w:ins w:id="11" w:author="潘艺芳" w:date="2019-09-25T20:44:00Z"/>
        </w:numPr>
        <w:spacing w:line="580" w:lineRule="exact"/>
        <w:ind w:firstLine="0"/>
        <w:rPr>
          <w:rFonts w:hint="eastAsia" w:ascii="黑体" w:hAnsi="仿宋_GB2312" w:eastAsia="黑体" w:cs="仿宋_GB2312"/>
          <w:sz w:val="32"/>
          <w:szCs w:val="32"/>
        </w:rPr>
      </w:pPr>
      <w:r>
        <w:rPr>
          <w:rFonts w:hint="eastAsia" w:ascii="黑体" w:hAnsi="仿宋_GB2312" w:eastAsia="黑体" w:cs="仿宋_GB2312"/>
          <w:sz w:val="32"/>
          <w:szCs w:val="32"/>
        </w:rPr>
        <w:t>附表</w:t>
      </w:r>
    </w:p>
    <w:p>
      <w:pPr>
        <w:spacing w:line="360" w:lineRule="auto"/>
        <w:ind w:firstLine="1807" w:firstLineChars="500"/>
        <w:rPr>
          <w:rFonts w:hint="eastAsia" w:ascii="宋体" w:hAnsi="宋体"/>
          <w:b/>
          <w:sz w:val="36"/>
        </w:rPr>
      </w:pPr>
      <w:r>
        <w:rPr>
          <w:rFonts w:hint="eastAsia" w:ascii="宋体" w:hAnsi="宋体"/>
          <w:b/>
          <w:sz w:val="36"/>
        </w:rPr>
        <w:t>联合惩戒措施相关依据和实施单位</w:t>
      </w:r>
    </w:p>
    <w:tbl>
      <w:tblPr>
        <w:tblStyle w:val="2"/>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93"/>
        <w:gridCol w:w="5528"/>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top"/>
          </w:tcPr>
          <w:p>
            <w:pPr>
              <w:jc w:val="center"/>
              <w:rPr>
                <w:rFonts w:hint="eastAsia" w:ascii="宋体" w:hAnsi="宋体"/>
                <w:sz w:val="24"/>
              </w:rPr>
            </w:pPr>
            <w:r>
              <w:rPr>
                <w:rFonts w:hint="eastAsia" w:ascii="宋体" w:hAnsi="宋体"/>
                <w:sz w:val="24"/>
              </w:rPr>
              <w:t>惩戒措施</w:t>
            </w:r>
          </w:p>
        </w:tc>
        <w:tc>
          <w:tcPr>
            <w:tcW w:w="5528" w:type="dxa"/>
            <w:noWrap w:val="0"/>
            <w:vAlign w:val="top"/>
          </w:tcPr>
          <w:p>
            <w:pPr>
              <w:jc w:val="center"/>
              <w:rPr>
                <w:rFonts w:hint="eastAsia" w:ascii="宋体" w:hAnsi="宋体"/>
                <w:sz w:val="24"/>
              </w:rPr>
            </w:pPr>
            <w:r>
              <w:rPr>
                <w:rFonts w:hint="eastAsia" w:ascii="宋体" w:hAnsi="宋体"/>
                <w:sz w:val="24"/>
              </w:rPr>
              <w:t>相关法律依据</w:t>
            </w:r>
          </w:p>
        </w:tc>
        <w:tc>
          <w:tcPr>
            <w:tcW w:w="1559" w:type="dxa"/>
            <w:noWrap w:val="0"/>
            <w:vAlign w:val="top"/>
          </w:tcPr>
          <w:p>
            <w:pPr>
              <w:jc w:val="center"/>
              <w:rPr>
                <w:rFonts w:hint="eastAsia" w:ascii="宋体" w:hAnsi="宋体"/>
                <w:sz w:val="24"/>
              </w:rPr>
            </w:pPr>
            <w:r>
              <w:rPr>
                <w:rFonts w:hint="eastAsia" w:ascii="宋体" w:hAnsi="宋体"/>
                <w:sz w:val="24"/>
              </w:rPr>
              <w:t>实施单位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0" w:hRule="atLeast"/>
        </w:trPr>
        <w:tc>
          <w:tcPr>
            <w:tcW w:w="2093" w:type="dxa"/>
            <w:noWrap w:val="0"/>
            <w:vAlign w:val="center"/>
          </w:tcPr>
          <w:p>
            <w:pPr>
              <w:rPr>
                <w:rFonts w:hint="eastAsia" w:ascii="宋体" w:hAnsi="宋体"/>
                <w:sz w:val="24"/>
              </w:rPr>
            </w:pPr>
            <w:r>
              <w:rPr>
                <w:rFonts w:hint="eastAsia" w:ascii="宋体" w:hAnsi="宋体"/>
                <w:sz w:val="24"/>
              </w:rPr>
              <w:t>（一）限制补贴性资金支持</w:t>
            </w:r>
          </w:p>
        </w:tc>
        <w:tc>
          <w:tcPr>
            <w:tcW w:w="5528" w:type="dxa"/>
            <w:noWrap w:val="0"/>
            <w:vAlign w:val="center"/>
          </w:tcPr>
          <w:p>
            <w:pPr>
              <w:rPr>
                <w:rFonts w:hint="eastAsia" w:ascii="宋体" w:hAnsi="宋体"/>
                <w:sz w:val="24"/>
              </w:rPr>
            </w:pPr>
            <w:r>
              <w:rPr>
                <w:rFonts w:hint="eastAsia" w:ascii="宋体" w:hAnsi="宋体"/>
                <w:sz w:val="24"/>
              </w:rPr>
              <w:t>《国务院关于印发社会信用体系建设规划纲要（2014—2020年）的通知》（国发</w:t>
            </w:r>
            <w:r>
              <w:rPr>
                <w:rFonts w:hint="eastAsia" w:ascii="宋体" w:hAnsi="宋体"/>
                <w:color w:val="auto"/>
                <w:sz w:val="24"/>
              </w:rPr>
              <w:t>[2014]</w:t>
            </w:r>
            <w:r>
              <w:rPr>
                <w:rFonts w:hint="eastAsia" w:ascii="宋体" w:hAnsi="宋体"/>
                <w:sz w:val="24"/>
              </w:rPr>
              <w:t>21号）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tc>
        <w:tc>
          <w:tcPr>
            <w:tcW w:w="1559" w:type="dxa"/>
            <w:noWrap w:val="0"/>
            <w:vAlign w:val="center"/>
          </w:tcPr>
          <w:p>
            <w:pPr>
              <w:rPr>
                <w:rFonts w:hint="eastAsia" w:ascii="宋体" w:hAnsi="宋体"/>
                <w:sz w:val="24"/>
              </w:rPr>
            </w:pPr>
            <w:r>
              <w:rPr>
                <w:rFonts w:hint="eastAsia" w:ascii="宋体" w:hAnsi="宋体"/>
                <w:sz w:val="24"/>
              </w:rPr>
              <w:t>市发展改革委、市国资委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top"/>
          </w:tcPr>
          <w:p>
            <w:pPr>
              <w:numPr>
                <w:ins w:id="12" w:author="潘艺芳" w:date="2019-09-25T20:45:00Z"/>
              </w:numPr>
              <w:rPr>
                <w:rFonts w:hint="eastAsia" w:ascii="宋体" w:hAnsi="宋体"/>
                <w:sz w:val="24"/>
              </w:rPr>
            </w:pPr>
          </w:p>
          <w:p>
            <w:pPr>
              <w:numPr>
                <w:ins w:id="13" w:author="潘艺芳" w:date="2019-09-25T20:45:00Z"/>
              </w:numPr>
              <w:rPr>
                <w:rFonts w:hint="eastAsia" w:ascii="宋体" w:hAnsi="宋体"/>
                <w:sz w:val="24"/>
              </w:rPr>
            </w:pPr>
          </w:p>
          <w:p>
            <w:pPr>
              <w:numPr>
                <w:ins w:id="14" w:author="潘艺芳" w:date="2019-09-25T20:45:00Z"/>
              </w:numPr>
              <w:rPr>
                <w:rFonts w:hint="eastAsia" w:ascii="宋体" w:hAnsi="宋体"/>
                <w:sz w:val="24"/>
              </w:rPr>
            </w:pPr>
          </w:p>
          <w:p>
            <w:pPr>
              <w:numPr>
                <w:ins w:id="15" w:author="潘艺芳" w:date="2019-09-25T20:45:00Z"/>
              </w:numPr>
              <w:rPr>
                <w:rFonts w:hint="eastAsia" w:ascii="宋体" w:hAnsi="宋体"/>
                <w:sz w:val="24"/>
              </w:rPr>
            </w:pPr>
          </w:p>
          <w:p>
            <w:pPr>
              <w:numPr>
                <w:ins w:id="16" w:author="潘艺芳" w:date="2019-09-25T20:45:00Z"/>
              </w:numPr>
              <w:rPr>
                <w:rFonts w:hint="eastAsia" w:ascii="宋体" w:hAnsi="宋体"/>
                <w:sz w:val="24"/>
              </w:rPr>
            </w:pPr>
          </w:p>
          <w:p>
            <w:pPr>
              <w:numPr>
                <w:ins w:id="17" w:author="潘艺芳" w:date="2019-09-25T20:45:00Z"/>
              </w:numPr>
              <w:rPr>
                <w:rFonts w:hint="eastAsia" w:ascii="宋体" w:hAnsi="宋体"/>
                <w:sz w:val="24"/>
              </w:rPr>
            </w:pPr>
          </w:p>
          <w:p>
            <w:pPr>
              <w:numPr>
                <w:ins w:id="18" w:author="潘艺芳" w:date="2019-09-25T20:45:00Z"/>
              </w:numPr>
              <w:rPr>
                <w:rFonts w:hint="eastAsia" w:ascii="宋体" w:hAnsi="宋体"/>
                <w:sz w:val="24"/>
              </w:rPr>
            </w:pPr>
          </w:p>
          <w:p>
            <w:pPr>
              <w:numPr>
                <w:ins w:id="19" w:author="潘艺芳" w:date="2019-09-25T20:45:00Z"/>
              </w:numPr>
              <w:rPr>
                <w:rFonts w:hint="eastAsia" w:ascii="宋体" w:hAnsi="宋体"/>
                <w:sz w:val="24"/>
              </w:rPr>
            </w:pPr>
          </w:p>
          <w:p>
            <w:pPr>
              <w:numPr>
                <w:ins w:id="20" w:author="潘艺芳" w:date="2019-09-25T20:45:00Z"/>
              </w:numPr>
              <w:rPr>
                <w:rFonts w:hint="eastAsia" w:ascii="宋体" w:hAnsi="宋体"/>
                <w:sz w:val="24"/>
              </w:rPr>
            </w:pPr>
          </w:p>
          <w:p>
            <w:pPr>
              <w:rPr>
                <w:rFonts w:hint="eastAsia" w:ascii="宋体" w:hAnsi="宋体"/>
                <w:sz w:val="24"/>
              </w:rPr>
            </w:pPr>
            <w:r>
              <w:rPr>
                <w:rFonts w:hint="eastAsia" w:ascii="宋体" w:hAnsi="宋体"/>
                <w:sz w:val="24"/>
              </w:rPr>
              <w:t>（二）将其严重危害正常医疗秩序的失信行为限制享受优惠性政策的重要参考因素。</w:t>
            </w:r>
          </w:p>
        </w:tc>
        <w:tc>
          <w:tcPr>
            <w:tcW w:w="5528" w:type="dxa"/>
            <w:noWrap w:val="0"/>
            <w:vAlign w:val="top"/>
          </w:tcPr>
          <w:p>
            <w:pPr>
              <w:spacing w:line="340" w:lineRule="exact"/>
              <w:rPr>
                <w:rFonts w:hint="eastAsia" w:ascii="宋体" w:hAnsi="宋体"/>
                <w:sz w:val="24"/>
              </w:rPr>
            </w:pPr>
            <w:r>
              <w:rPr>
                <w:rFonts w:hint="eastAsia" w:ascii="宋体" w:hAnsi="宋体"/>
                <w:sz w:val="24"/>
              </w:rPr>
              <w:t>《国务院关于印发社会信用体系建设规划纲要（2014—2020年）的通知》（国发</w:t>
            </w:r>
            <w:r>
              <w:rPr>
                <w:rFonts w:hint="eastAsia" w:ascii="宋体" w:hAnsi="宋体"/>
                <w:color w:val="auto"/>
                <w:sz w:val="24"/>
              </w:rPr>
              <w:t>[2014]</w:t>
            </w:r>
            <w:r>
              <w:rPr>
                <w:rFonts w:hint="eastAsia" w:ascii="宋体" w:hAnsi="宋体"/>
                <w:sz w:val="24"/>
              </w:rPr>
              <w:t>21号）加强对失信主体的约束和惩戒。强化行政监督性约束和惩戒。在现有行政处罚措施的基础上，健全失信惩戒制度，建立各行业黑名单制度和市场退出机制。推动各级人民政府在市场监管和公共服务的市场准入、资质认定、行政审批、政策扶持等方面实施信用分类监管，结合监管对象的失信类别和程度，使失信者受到惩戒。逐步建立行政许可申请人信用承诺制度，并开展申请人信用审查，确保申请人在政府推荐的征信机构中有信用记录，配合征信机构开展信用信息采集工作，推动形成市场性约束和惩戒。制定信用基准性评价指标体系和评价方法，完善失信信息记录和披露制度，使失信者在市场交易中受到制约。推动形成行业性约束和惩戒。通过行业协会制定行业自律规则并监督会员遵守。对违规的失信者，按照情节轻重，对机构会员和个人会员实行警告、行业内通报批评、公开谴责等惩戒措施。推动形成社会约束和惩戒。完善社会舆论监督机制，加强对失信行为的披露和曝光，发挥群众评议讨论、批评报道等作用，通过社会的道德谴责，形成社会震慑力，约束社会成员的失信行为。</w:t>
            </w:r>
          </w:p>
          <w:p>
            <w:pPr>
              <w:rPr>
                <w:rFonts w:hint="eastAsia" w:ascii="宋体" w:hAnsi="宋体"/>
                <w:sz w:val="24"/>
              </w:rPr>
            </w:pPr>
            <w:r>
              <w:rPr>
                <w:rFonts w:hint="eastAsia" w:ascii="宋体" w:hAnsi="宋体"/>
                <w:sz w:val="24"/>
              </w:rPr>
              <w:t>建立多部门、跨地区信用联合奖惩机制。通过信用信息交换共享、实现多部门、跨地区信用奖惩联动，使守信者处处受益、失信者寸步难行。</w:t>
            </w:r>
          </w:p>
        </w:tc>
        <w:tc>
          <w:tcPr>
            <w:tcW w:w="1559" w:type="dxa"/>
            <w:noWrap w:val="0"/>
            <w:vAlign w:val="top"/>
          </w:tcPr>
          <w:p>
            <w:pPr>
              <w:numPr>
                <w:ins w:id="21" w:author="潘艺芳" w:date="2019-09-25T20:45:00Z"/>
              </w:numPr>
              <w:rPr>
                <w:rFonts w:hint="eastAsia" w:ascii="宋体" w:hAnsi="宋体"/>
                <w:sz w:val="24"/>
              </w:rPr>
            </w:pPr>
          </w:p>
          <w:p>
            <w:pPr>
              <w:numPr>
                <w:ins w:id="22" w:author="潘艺芳" w:date="2019-09-25T20:45:00Z"/>
              </w:numPr>
              <w:rPr>
                <w:rFonts w:hint="eastAsia" w:ascii="宋体" w:hAnsi="宋体"/>
                <w:sz w:val="24"/>
              </w:rPr>
            </w:pPr>
          </w:p>
          <w:p>
            <w:pPr>
              <w:numPr>
                <w:ins w:id="23" w:author="潘艺芳" w:date="2019-09-25T20:45:00Z"/>
              </w:numPr>
              <w:rPr>
                <w:rFonts w:hint="eastAsia" w:ascii="宋体" w:hAnsi="宋体"/>
                <w:sz w:val="24"/>
              </w:rPr>
            </w:pPr>
          </w:p>
          <w:p>
            <w:pPr>
              <w:numPr>
                <w:ins w:id="24" w:author="潘艺芳" w:date="2019-09-25T20:45:00Z"/>
              </w:numPr>
              <w:rPr>
                <w:rFonts w:hint="eastAsia" w:ascii="宋体" w:hAnsi="宋体"/>
                <w:sz w:val="24"/>
              </w:rPr>
            </w:pPr>
          </w:p>
          <w:p>
            <w:pPr>
              <w:numPr>
                <w:ins w:id="25" w:author="潘艺芳" w:date="2019-09-25T20:45:00Z"/>
              </w:numPr>
              <w:rPr>
                <w:rFonts w:hint="eastAsia" w:ascii="宋体" w:hAnsi="宋体"/>
                <w:sz w:val="24"/>
              </w:rPr>
            </w:pPr>
          </w:p>
          <w:p>
            <w:pPr>
              <w:numPr>
                <w:ins w:id="26" w:author="潘艺芳" w:date="2019-09-25T20:45:00Z"/>
              </w:numPr>
              <w:rPr>
                <w:rFonts w:hint="eastAsia" w:ascii="宋体" w:hAnsi="宋体"/>
                <w:sz w:val="24"/>
              </w:rPr>
            </w:pPr>
          </w:p>
          <w:p>
            <w:pPr>
              <w:numPr>
                <w:ins w:id="27" w:author="潘艺芳" w:date="2019-09-25T20:45:00Z"/>
              </w:numPr>
              <w:rPr>
                <w:rFonts w:hint="eastAsia" w:ascii="宋体" w:hAnsi="宋体"/>
                <w:sz w:val="24"/>
              </w:rPr>
            </w:pPr>
          </w:p>
          <w:p>
            <w:pPr>
              <w:numPr>
                <w:ins w:id="28" w:author="潘艺芳" w:date="2019-09-25T20:45:00Z"/>
              </w:numPr>
              <w:rPr>
                <w:rFonts w:hint="eastAsia" w:ascii="宋体" w:hAnsi="宋体"/>
                <w:sz w:val="24"/>
              </w:rPr>
            </w:pPr>
          </w:p>
          <w:p>
            <w:pPr>
              <w:numPr>
                <w:ins w:id="29" w:author="潘艺芳" w:date="2019-09-25T20:45:00Z"/>
              </w:numPr>
              <w:rPr>
                <w:rFonts w:hint="eastAsia" w:ascii="宋体" w:hAnsi="宋体"/>
                <w:sz w:val="24"/>
              </w:rPr>
            </w:pPr>
          </w:p>
          <w:p>
            <w:pPr>
              <w:rPr>
                <w:rFonts w:hint="eastAsia" w:ascii="宋体" w:hAnsi="宋体"/>
                <w:sz w:val="24"/>
              </w:rPr>
            </w:pPr>
            <w:r>
              <w:rPr>
                <w:rFonts w:hint="eastAsia" w:ascii="宋体" w:hAnsi="宋体"/>
                <w:sz w:val="24"/>
              </w:rPr>
              <w:t>市发展改革委、市商务局、（广州、黄埔）海关、市市场监管局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rPr>
                <w:rFonts w:hint="eastAsia" w:ascii="宋体" w:hAnsi="宋体"/>
                <w:sz w:val="24"/>
              </w:rPr>
            </w:pPr>
            <w:r>
              <w:rPr>
                <w:rFonts w:hint="eastAsia" w:ascii="宋体" w:hAnsi="宋体"/>
                <w:sz w:val="24"/>
              </w:rPr>
              <w:t>（三）限制担任国有企业法定代表人、董事、监事、高级管理人员</w:t>
            </w:r>
          </w:p>
        </w:tc>
        <w:tc>
          <w:tcPr>
            <w:tcW w:w="5528" w:type="dxa"/>
            <w:noWrap w:val="0"/>
            <w:vAlign w:val="center"/>
          </w:tcPr>
          <w:p>
            <w:pPr>
              <w:rPr>
                <w:rFonts w:hint="eastAsia" w:ascii="宋体" w:hAnsi="宋体"/>
                <w:sz w:val="24"/>
              </w:rPr>
            </w:pPr>
            <w:r>
              <w:rPr>
                <w:rFonts w:hint="eastAsia" w:ascii="宋体" w:hAnsi="宋体"/>
                <w:sz w:val="24"/>
              </w:rPr>
              <w:t>1、《中华人民共和国企业国有资产法》</w:t>
            </w:r>
          </w:p>
          <w:p>
            <w:pPr>
              <w:rPr>
                <w:rFonts w:hint="eastAsia" w:ascii="宋体" w:hAnsi="宋体"/>
                <w:sz w:val="24"/>
              </w:rPr>
            </w:pPr>
            <w:r>
              <w:rPr>
                <w:rFonts w:hint="eastAsia" w:ascii="宋体" w:hAnsi="宋体"/>
                <w:sz w:val="24"/>
              </w:rPr>
              <w:t>第二十三条履行出资人职责的机构任命或者建议任命的董事、监事、高级管理人员，应当具备下列条件；</w:t>
            </w:r>
          </w:p>
          <w:p>
            <w:pPr>
              <w:rPr>
                <w:rFonts w:hint="eastAsia" w:ascii="宋体" w:hAnsi="宋体"/>
                <w:sz w:val="24"/>
              </w:rPr>
            </w:pPr>
            <w:r>
              <w:rPr>
                <w:rFonts w:hint="eastAsia" w:ascii="宋体" w:hAnsi="宋体"/>
                <w:sz w:val="24"/>
              </w:rPr>
              <w:t>（1）有良好的品行；</w:t>
            </w:r>
          </w:p>
          <w:p>
            <w:pPr>
              <w:rPr>
                <w:rFonts w:hint="eastAsia" w:ascii="宋体" w:hAnsi="宋体"/>
                <w:sz w:val="24"/>
              </w:rPr>
            </w:pPr>
            <w:r>
              <w:rPr>
                <w:rFonts w:hint="eastAsia" w:ascii="宋体" w:hAnsi="宋体"/>
                <w:sz w:val="24"/>
              </w:rPr>
              <w:t>（2）有符合职位要求的专业知识和工作能力；</w:t>
            </w:r>
          </w:p>
          <w:p>
            <w:pPr>
              <w:rPr>
                <w:rFonts w:hint="eastAsia" w:ascii="宋体" w:hAnsi="宋体"/>
                <w:sz w:val="24"/>
              </w:rPr>
            </w:pPr>
            <w:r>
              <w:rPr>
                <w:rFonts w:hint="eastAsia" w:ascii="宋体" w:hAnsi="宋体"/>
                <w:sz w:val="24"/>
              </w:rPr>
              <w:t>（3）有能够正常履行职责的身体条件；</w:t>
            </w:r>
          </w:p>
          <w:p>
            <w:pPr>
              <w:rPr>
                <w:rFonts w:hint="eastAsia" w:ascii="宋体" w:hAnsi="宋体"/>
                <w:sz w:val="24"/>
              </w:rPr>
            </w:pPr>
            <w:r>
              <w:rPr>
                <w:rFonts w:hint="eastAsia" w:ascii="宋体" w:hAnsi="宋体"/>
                <w:sz w:val="24"/>
              </w:rPr>
              <w:t>（4）法律、行政法规规定的其他条件。</w:t>
            </w:r>
          </w:p>
          <w:p>
            <w:pPr>
              <w:rPr>
                <w:rFonts w:hint="eastAsia" w:ascii="宋体" w:hAnsi="宋体"/>
                <w:sz w:val="24"/>
              </w:rPr>
            </w:pPr>
            <w:r>
              <w:rPr>
                <w:rFonts w:hint="eastAsia" w:ascii="宋体" w:hAnsi="宋体"/>
                <w:sz w:val="24"/>
              </w:rPr>
              <w:t>董事、监事、高级管理人员在任职期间出现不符合前款规定情形或者出现《中华人民共和国公司法》规定的不得担任公司董事、监事、高级管理人员情形的，履行出资人职责的机构应当依法予以免职或者提出免职建议。</w:t>
            </w:r>
          </w:p>
          <w:p>
            <w:pPr>
              <w:rPr>
                <w:rFonts w:hint="eastAsia" w:ascii="宋体" w:hAnsi="宋体"/>
                <w:sz w:val="24"/>
              </w:rPr>
            </w:pPr>
            <w:r>
              <w:rPr>
                <w:rFonts w:hint="eastAsia" w:ascii="宋体" w:hAnsi="宋体"/>
                <w:sz w:val="24"/>
              </w:rPr>
              <w:t>2、《企业法人法定代表人登记管理规定》第四条的有关规定</w:t>
            </w:r>
          </w:p>
        </w:tc>
        <w:tc>
          <w:tcPr>
            <w:tcW w:w="1559" w:type="dxa"/>
            <w:noWrap w:val="0"/>
            <w:vAlign w:val="center"/>
          </w:tcPr>
          <w:p>
            <w:pPr>
              <w:rPr>
                <w:rFonts w:hint="eastAsia" w:ascii="宋体" w:hAnsi="宋体"/>
                <w:sz w:val="24"/>
              </w:rPr>
            </w:pPr>
            <w:r>
              <w:rPr>
                <w:rFonts w:hint="eastAsia" w:ascii="宋体" w:hAnsi="宋体"/>
                <w:sz w:val="24"/>
              </w:rPr>
              <w:t>市委组织部、市国资委、</w:t>
            </w:r>
          </w:p>
          <w:p>
            <w:pPr>
              <w:rPr>
                <w:rFonts w:hint="eastAsia" w:ascii="宋体" w:hAnsi="宋体"/>
                <w:sz w:val="24"/>
              </w:rPr>
            </w:pPr>
            <w:r>
              <w:rPr>
                <w:rFonts w:hint="eastAsia" w:ascii="宋体" w:hAnsi="宋体"/>
                <w:sz w:val="24"/>
              </w:rPr>
              <w:t>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rPr>
                <w:rFonts w:hint="eastAsia" w:ascii="宋体" w:hAnsi="宋体"/>
                <w:sz w:val="24"/>
              </w:rPr>
            </w:pPr>
            <w:r>
              <w:rPr>
                <w:rFonts w:hint="eastAsia" w:ascii="宋体" w:hAnsi="宋体"/>
                <w:sz w:val="24"/>
              </w:rPr>
              <w:t>（四）限制登记为事业单位法定代表人</w:t>
            </w:r>
          </w:p>
        </w:tc>
        <w:tc>
          <w:tcPr>
            <w:tcW w:w="5528" w:type="dxa"/>
            <w:noWrap w:val="0"/>
            <w:vAlign w:val="center"/>
          </w:tcPr>
          <w:p>
            <w:pPr>
              <w:rPr>
                <w:rFonts w:hint="eastAsia" w:ascii="宋体" w:hAnsi="宋体"/>
                <w:sz w:val="24"/>
              </w:rPr>
            </w:pPr>
            <w:r>
              <w:rPr>
                <w:rFonts w:hint="eastAsia" w:ascii="宋体" w:hAnsi="宋体"/>
                <w:sz w:val="24"/>
              </w:rPr>
              <w:t>1、《中央编办关于批转&lt;事业单位、社会团体及企业等组织利用国有资产举办事业单位设立登记办法（试行）&gt;的通知》（中央编办发</w:t>
            </w:r>
            <w:r>
              <w:rPr>
                <w:rFonts w:hint="eastAsia" w:ascii="宋体" w:hAnsi="宋体"/>
                <w:color w:val="auto"/>
                <w:sz w:val="24"/>
              </w:rPr>
              <w:t>[2015]</w:t>
            </w:r>
            <w:r>
              <w:rPr>
                <w:rFonts w:hint="eastAsia" w:ascii="宋体" w:hAnsi="宋体"/>
                <w:sz w:val="24"/>
              </w:rPr>
              <w:t>132号）</w:t>
            </w:r>
          </w:p>
          <w:p>
            <w:pPr>
              <w:rPr>
                <w:rFonts w:hint="eastAsia" w:ascii="宋体" w:hAnsi="宋体"/>
                <w:sz w:val="24"/>
              </w:rPr>
            </w:pPr>
            <w:r>
              <w:rPr>
                <w:rFonts w:hint="eastAsia" w:ascii="宋体" w:hAnsi="宋体"/>
                <w:sz w:val="24"/>
              </w:rPr>
              <w:t>第四条 登记事项要求：（四）法定代表人。应当是具有完全民事行为能力的中国公民，且为该单位主要行政负责人，年龄一般不超过70周岁，无不良信用记录。担任过其他机构法定代表人的，在任职期间，该机构无不良信用记录。党政机关领导干部在职或退休后拟担任法定代表人的，应当符合干部管理有关规定。</w:t>
            </w:r>
          </w:p>
          <w:p>
            <w:pPr>
              <w:rPr>
                <w:rFonts w:hint="eastAsia" w:ascii="宋体" w:hAnsi="宋体"/>
                <w:sz w:val="24"/>
              </w:rPr>
            </w:pPr>
            <w:r>
              <w:rPr>
                <w:rFonts w:hint="eastAsia" w:ascii="宋体" w:hAnsi="宋体"/>
                <w:sz w:val="24"/>
              </w:rPr>
              <w:t>2《事业单位登记管理暂行条例实施细则》（中央编办发</w:t>
            </w:r>
            <w:r>
              <w:rPr>
                <w:rFonts w:hint="eastAsia" w:ascii="宋体" w:hAnsi="宋体"/>
                <w:color w:val="auto"/>
                <w:sz w:val="24"/>
              </w:rPr>
              <w:t>[2014]</w:t>
            </w:r>
            <w:r>
              <w:rPr>
                <w:rFonts w:hint="eastAsia" w:ascii="宋体" w:hAnsi="宋体"/>
                <w:sz w:val="24"/>
              </w:rPr>
              <w:t>4号）</w:t>
            </w:r>
          </w:p>
          <w:p>
            <w:pPr>
              <w:rPr>
                <w:rFonts w:hint="eastAsia" w:ascii="宋体" w:hAnsi="宋体"/>
                <w:sz w:val="24"/>
              </w:rPr>
            </w:pPr>
            <w:r>
              <w:rPr>
                <w:rFonts w:hint="eastAsia" w:ascii="宋体" w:hAnsi="宋体"/>
                <w:sz w:val="24"/>
              </w:rPr>
              <w:t>第三十一条 事业单位法定代表人应当具备下列条件：（一）具有完全民事行为能力的自然人；</w:t>
            </w:r>
          </w:p>
          <w:p>
            <w:pPr>
              <w:rPr>
                <w:rFonts w:hint="eastAsia" w:ascii="宋体" w:hAnsi="宋体"/>
                <w:sz w:val="24"/>
              </w:rPr>
            </w:pPr>
            <w:r>
              <w:rPr>
                <w:rFonts w:hint="eastAsia" w:ascii="宋体" w:hAnsi="宋体"/>
                <w:sz w:val="24"/>
              </w:rPr>
              <w:t xml:space="preserve">   （二）该事业单位的主要行政负责人；违反法律、法规和政策规定产生的事业单位主要行政负责人，不得担任事业单位法定代表人。</w:t>
            </w:r>
          </w:p>
        </w:tc>
        <w:tc>
          <w:tcPr>
            <w:tcW w:w="1559" w:type="dxa"/>
            <w:noWrap w:val="0"/>
            <w:vAlign w:val="center"/>
          </w:tcPr>
          <w:p>
            <w:pPr>
              <w:rPr>
                <w:rFonts w:hint="eastAsia" w:ascii="宋体" w:hAnsi="宋体"/>
                <w:sz w:val="24"/>
              </w:rPr>
            </w:pPr>
            <w:r>
              <w:rPr>
                <w:rFonts w:hint="eastAsia" w:ascii="宋体" w:hAnsi="宋体"/>
                <w:sz w:val="24"/>
              </w:rPr>
              <w:t>市委编办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top"/>
          </w:tcPr>
          <w:p>
            <w:pPr>
              <w:numPr>
                <w:ins w:id="30" w:author="潘艺芳" w:date="2019-09-25T20:45:00Z"/>
              </w:numPr>
              <w:rPr>
                <w:rFonts w:hint="eastAsia" w:ascii="宋体" w:hAnsi="宋体"/>
                <w:sz w:val="24"/>
              </w:rPr>
            </w:pPr>
          </w:p>
          <w:p>
            <w:pPr>
              <w:rPr>
                <w:rFonts w:hint="eastAsia" w:ascii="宋体" w:hAnsi="宋体"/>
                <w:sz w:val="24"/>
              </w:rPr>
            </w:pPr>
            <w:r>
              <w:rPr>
                <w:rFonts w:hint="eastAsia" w:ascii="宋体" w:hAnsi="宋体"/>
                <w:sz w:val="24"/>
              </w:rPr>
              <w:t>（五）限制招录（聘）为公务员或事业单位工作人员</w:t>
            </w:r>
          </w:p>
        </w:tc>
        <w:tc>
          <w:tcPr>
            <w:tcW w:w="5528" w:type="dxa"/>
            <w:noWrap w:val="0"/>
            <w:vAlign w:val="top"/>
          </w:tcPr>
          <w:p>
            <w:pPr>
              <w:rPr>
                <w:rFonts w:hint="eastAsia" w:ascii="宋体" w:hAnsi="宋体"/>
                <w:sz w:val="24"/>
              </w:rPr>
            </w:pPr>
            <w:r>
              <w:rPr>
                <w:rFonts w:hint="eastAsia" w:ascii="宋体" w:hAnsi="宋体"/>
                <w:sz w:val="24"/>
              </w:rPr>
              <w:t>《中华人民共和国公务员法》</w:t>
            </w:r>
          </w:p>
          <w:p>
            <w:pPr>
              <w:rPr>
                <w:rFonts w:hint="eastAsia" w:ascii="宋体" w:hAnsi="宋体"/>
                <w:sz w:val="24"/>
              </w:rPr>
            </w:pPr>
            <w:r>
              <w:rPr>
                <w:rFonts w:hint="eastAsia" w:ascii="宋体" w:hAnsi="宋体"/>
                <w:sz w:val="24"/>
              </w:rPr>
              <w:t>第十一条 公务员应当具备下列条件：（一）具有</w:t>
            </w:r>
            <w:r>
              <w:rPr>
                <w:rFonts w:hint="eastAsia" w:ascii="宋体" w:hAnsi="宋体"/>
                <w:color w:val="auto"/>
                <w:sz w:val="24"/>
              </w:rPr>
              <w:t>中华人民共和国国籍</w:t>
            </w:r>
            <w:r>
              <w:rPr>
                <w:rFonts w:hint="eastAsia" w:ascii="宋体" w:hAnsi="宋体"/>
                <w:sz w:val="24"/>
              </w:rPr>
              <w:t>；（二）年满十八周岁；（三）拥护中华人民共和国宪法；（四）具有良好的品行；（五）具有正常履行职责的身体条件；（六）具有符合职位要求的文化程度和工作能力；（七）法律规定的其他条件。</w:t>
            </w:r>
          </w:p>
          <w:p>
            <w:pPr>
              <w:rPr>
                <w:rFonts w:hint="eastAsia" w:ascii="宋体" w:hAnsi="宋体"/>
                <w:sz w:val="24"/>
              </w:rPr>
            </w:pPr>
            <w:r>
              <w:rPr>
                <w:rFonts w:hint="eastAsia" w:ascii="宋体" w:hAnsi="宋体"/>
                <w:sz w:val="24"/>
              </w:rPr>
              <w:t>第十二条 公务员应当履行以下义务：（一）模范遵守宪法和法律；（二）按照规定的权限和程序认真履行职责，努力提高工作效率；（三）全心全意为人民服务，接受人民监督；（四）维护国家安全、荣誉和利益；（五）忠于职守，勤勉尽职，服从和执行上级依法作出的决定和命令；（六）保守国家秘密和工作秘密；（七）遵守纪律，恪守职业道德，模范遵守社会公德；（八）清正廉洁，公道正派；（九）法律规定的其他义务。</w:t>
            </w:r>
          </w:p>
          <w:p>
            <w:pPr>
              <w:rPr>
                <w:rFonts w:hint="eastAsia" w:ascii="宋体" w:hAnsi="宋体"/>
                <w:sz w:val="24"/>
              </w:rPr>
            </w:pPr>
            <w:r>
              <w:rPr>
                <w:rFonts w:hint="eastAsia" w:ascii="宋体" w:hAnsi="宋体"/>
                <w:sz w:val="24"/>
              </w:rPr>
              <w:t>第二十一条 录用担任主任科员以下及其他相当职务层次的非领导职务公务员，采取公开考试、严格考察、平等竞争、择优录取的办法。</w:t>
            </w:r>
          </w:p>
          <w:p>
            <w:pPr>
              <w:rPr>
                <w:rFonts w:hint="eastAsia" w:ascii="宋体" w:hAnsi="宋体"/>
                <w:sz w:val="24"/>
              </w:rPr>
            </w:pPr>
            <w:r>
              <w:rPr>
                <w:rFonts w:hint="eastAsia" w:ascii="宋体" w:hAnsi="宋体"/>
                <w:sz w:val="24"/>
              </w:rPr>
              <w:t>第二十四条 下列人员不得录用为公务员：（一）曾因犯罪受过刑事处罚的；（二）曾被开除公职的；（三）有法律规定不得录用为公务员的其他情形的。</w:t>
            </w:r>
          </w:p>
          <w:p>
            <w:pPr>
              <w:rPr>
                <w:rFonts w:hint="eastAsia" w:ascii="宋体" w:hAnsi="宋体"/>
                <w:sz w:val="24"/>
              </w:rPr>
            </w:pPr>
            <w:r>
              <w:rPr>
                <w:rFonts w:hint="eastAsia" w:ascii="宋体" w:hAnsi="宋体"/>
                <w:sz w:val="24"/>
              </w:rPr>
              <w:t>《事业单位公开招聘人员暂行规定》</w:t>
            </w:r>
          </w:p>
          <w:p>
            <w:pPr>
              <w:rPr>
                <w:rFonts w:hint="eastAsia" w:ascii="宋体" w:hAnsi="宋体"/>
                <w:sz w:val="24"/>
              </w:rPr>
            </w:pPr>
            <w:r>
              <w:rPr>
                <w:rFonts w:hint="eastAsia" w:ascii="宋体" w:hAnsi="宋体"/>
                <w:sz w:val="24"/>
              </w:rPr>
              <w:t>第九条 应聘人员必须具备下列条件：（一）具有</w:t>
            </w:r>
            <w:r>
              <w:rPr>
                <w:rFonts w:hint="eastAsia" w:ascii="宋体" w:hAnsi="宋体"/>
                <w:color w:val="auto"/>
                <w:sz w:val="24"/>
              </w:rPr>
              <w:t>中华人民共和国国籍</w:t>
            </w:r>
            <w:r>
              <w:rPr>
                <w:rFonts w:hint="eastAsia" w:ascii="宋体" w:hAnsi="宋体"/>
                <w:sz w:val="24"/>
              </w:rPr>
              <w:t>；（二）遵守宪法和法律；（三）具有良好的品行；（四）岗位所需的专业和技能条件；（五）适应岗位要求的身体条件；（六）岗位所需的其他条件。</w:t>
            </w:r>
          </w:p>
        </w:tc>
        <w:tc>
          <w:tcPr>
            <w:tcW w:w="1559" w:type="dxa"/>
            <w:noWrap w:val="0"/>
            <w:vAlign w:val="top"/>
          </w:tcPr>
          <w:p>
            <w:pPr>
              <w:numPr>
                <w:ins w:id="31" w:author="潘艺芳" w:date="2019-09-25T20:45:00Z"/>
              </w:numPr>
              <w:rPr>
                <w:rFonts w:hint="eastAsia" w:ascii="宋体" w:hAnsi="宋体"/>
                <w:sz w:val="24"/>
              </w:rPr>
            </w:pPr>
          </w:p>
          <w:p>
            <w:pPr>
              <w:rPr>
                <w:rFonts w:hint="eastAsia" w:ascii="宋体" w:hAnsi="宋体"/>
                <w:sz w:val="24"/>
              </w:rPr>
            </w:pPr>
            <w:r>
              <w:rPr>
                <w:rFonts w:hint="eastAsia" w:ascii="宋体" w:hAnsi="宋体"/>
                <w:sz w:val="24"/>
              </w:rPr>
              <w:t>市委组织部、</w:t>
            </w:r>
            <w:r>
              <w:rPr>
                <w:rFonts w:hint="eastAsia" w:ascii="宋体" w:hAnsi="宋体"/>
                <w:color w:val="auto"/>
                <w:sz w:val="24"/>
              </w:rPr>
              <w:t>市人力资源社会保障</w:t>
            </w:r>
            <w:r>
              <w:rPr>
                <w:rFonts w:hint="eastAsia" w:ascii="宋体" w:hAnsi="宋体"/>
                <w:sz w:val="24"/>
              </w:rPr>
              <w:t>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top"/>
          </w:tcPr>
          <w:p>
            <w:pPr>
              <w:numPr>
                <w:ins w:id="32" w:author="潘艺芳" w:date="2019-09-25T20:46:00Z"/>
              </w:numPr>
              <w:rPr>
                <w:rFonts w:hint="eastAsia" w:ascii="宋体" w:hAnsi="宋体"/>
                <w:sz w:val="24"/>
              </w:rPr>
            </w:pPr>
          </w:p>
          <w:p>
            <w:pPr>
              <w:numPr>
                <w:ins w:id="33" w:author="潘艺芳" w:date="2019-09-25T20:46:00Z"/>
              </w:numPr>
              <w:rPr>
                <w:rFonts w:hint="eastAsia" w:ascii="宋体" w:hAnsi="宋体"/>
                <w:sz w:val="24"/>
              </w:rPr>
            </w:pPr>
          </w:p>
          <w:p>
            <w:pPr>
              <w:numPr>
                <w:ins w:id="34" w:author="潘艺芳" w:date="2019-09-25T20:46:00Z"/>
              </w:numPr>
              <w:rPr>
                <w:rFonts w:hint="eastAsia" w:ascii="宋体" w:hAnsi="宋体"/>
                <w:sz w:val="24"/>
              </w:rPr>
            </w:pPr>
          </w:p>
          <w:p>
            <w:pPr>
              <w:numPr>
                <w:ins w:id="35" w:author="潘艺芳" w:date="2019-09-25T20:46:00Z"/>
              </w:numPr>
              <w:rPr>
                <w:rFonts w:hint="eastAsia" w:ascii="宋体" w:hAnsi="宋体"/>
                <w:sz w:val="24"/>
              </w:rPr>
            </w:pPr>
          </w:p>
          <w:p>
            <w:pPr>
              <w:numPr>
                <w:ins w:id="36" w:author="潘艺芳" w:date="2019-09-25T20:46:00Z"/>
              </w:numPr>
              <w:rPr>
                <w:rFonts w:hint="eastAsia" w:ascii="宋体" w:hAnsi="宋体"/>
                <w:sz w:val="24"/>
              </w:rPr>
            </w:pPr>
          </w:p>
          <w:p>
            <w:pPr>
              <w:rPr>
                <w:rFonts w:hint="eastAsia" w:ascii="宋体" w:hAnsi="宋体"/>
                <w:sz w:val="24"/>
              </w:rPr>
            </w:pPr>
            <w:r>
              <w:rPr>
                <w:rFonts w:hint="eastAsia" w:ascii="宋体" w:hAnsi="宋体"/>
                <w:sz w:val="24"/>
              </w:rPr>
              <w:t>（六）按程序及时撤销相关荣誉，取消惩戒对象参加评先评优资格，不得向惩戒对象授予“道德模范</w:t>
            </w:r>
            <w:r>
              <w:rPr>
                <w:rFonts w:hint="eastAsia" w:ascii="宋体" w:hAnsi="宋体"/>
                <w:color w:val="auto"/>
                <w:sz w:val="24"/>
              </w:rPr>
              <w:t>”、“</w:t>
            </w:r>
            <w:r>
              <w:rPr>
                <w:rFonts w:hint="eastAsia" w:ascii="宋体" w:hAnsi="宋体"/>
                <w:sz w:val="24"/>
              </w:rPr>
              <w:t>劳动模范</w:t>
            </w:r>
            <w:r>
              <w:rPr>
                <w:rFonts w:hint="eastAsia" w:ascii="宋体" w:hAnsi="宋体"/>
                <w:color w:val="auto"/>
                <w:sz w:val="24"/>
              </w:rPr>
              <w:t>”、“</w:t>
            </w:r>
            <w:r>
              <w:rPr>
                <w:rFonts w:hint="eastAsia" w:ascii="宋体" w:hAnsi="宋体"/>
                <w:sz w:val="24"/>
              </w:rPr>
              <w:t>五一劳动奖章”等荣誉</w:t>
            </w:r>
          </w:p>
        </w:tc>
        <w:tc>
          <w:tcPr>
            <w:tcW w:w="5528" w:type="dxa"/>
            <w:noWrap w:val="0"/>
            <w:vAlign w:val="top"/>
          </w:tcPr>
          <w:p>
            <w:pPr>
              <w:spacing w:line="300" w:lineRule="exact"/>
              <w:rPr>
                <w:rFonts w:hint="eastAsia" w:ascii="宋体" w:hAnsi="宋体"/>
                <w:sz w:val="24"/>
              </w:rPr>
            </w:pPr>
            <w:r>
              <w:rPr>
                <w:rFonts w:hint="eastAsia" w:ascii="宋体" w:hAnsi="宋体"/>
                <w:sz w:val="24"/>
              </w:rPr>
              <w:t>《关于印发&lt;全国道德模范荣誉称号管理暂行办法&gt;的通知》（文明委</w:t>
            </w:r>
            <w:r>
              <w:rPr>
                <w:rFonts w:hint="eastAsia" w:ascii="宋体" w:hAnsi="宋体"/>
                <w:color w:val="auto"/>
                <w:sz w:val="24"/>
              </w:rPr>
              <w:t>[2015]</w:t>
            </w:r>
            <w:r>
              <w:rPr>
                <w:rFonts w:hint="eastAsia" w:ascii="宋体" w:hAnsi="宋体"/>
                <w:sz w:val="24"/>
              </w:rPr>
              <w:t>6号）</w:t>
            </w:r>
          </w:p>
          <w:p>
            <w:pPr>
              <w:spacing w:line="300" w:lineRule="exact"/>
              <w:rPr>
                <w:rFonts w:hint="eastAsia" w:ascii="宋体" w:hAnsi="宋体"/>
                <w:sz w:val="24"/>
              </w:rPr>
            </w:pPr>
            <w:r>
              <w:rPr>
                <w:rFonts w:hint="eastAsia" w:ascii="宋体" w:hAnsi="宋体"/>
                <w:sz w:val="24"/>
              </w:rPr>
              <w:t>第七条 全国道德模范及提名奖获得者产生道德滑坡，有下列情形之一的，所在属地管理责任部门向中央文明办提交调查报告，经中央文明办批准后撤销荣誉称号，收回奖章和证书。</w:t>
            </w:r>
          </w:p>
          <w:p>
            <w:pPr>
              <w:spacing w:line="300" w:lineRule="exact"/>
              <w:rPr>
                <w:rFonts w:hint="eastAsia" w:ascii="宋体" w:hAnsi="宋体"/>
                <w:sz w:val="24"/>
              </w:rPr>
            </w:pPr>
            <w:r>
              <w:rPr>
                <w:rFonts w:hint="eastAsia" w:ascii="宋体" w:hAnsi="宋体"/>
                <w:sz w:val="24"/>
              </w:rPr>
              <w:t>（三）生产经营活动严重失信的；</w:t>
            </w:r>
          </w:p>
          <w:p>
            <w:pPr>
              <w:spacing w:line="300" w:lineRule="exact"/>
              <w:rPr>
                <w:rFonts w:hint="eastAsia" w:ascii="宋体" w:hAnsi="宋体"/>
                <w:sz w:val="24"/>
              </w:rPr>
            </w:pPr>
            <w:r>
              <w:rPr>
                <w:rFonts w:hint="eastAsia" w:ascii="宋体" w:hAnsi="宋体"/>
                <w:sz w:val="24"/>
              </w:rPr>
              <w:t>（四）违反环境保护、计划生育、民族团结和税务、工商、安全生产政策法规的；</w:t>
            </w:r>
          </w:p>
          <w:p>
            <w:pPr>
              <w:spacing w:line="300" w:lineRule="exact"/>
              <w:rPr>
                <w:rFonts w:hint="eastAsia" w:ascii="宋体" w:hAnsi="宋体"/>
                <w:sz w:val="24"/>
              </w:rPr>
            </w:pPr>
            <w:r>
              <w:rPr>
                <w:rFonts w:hint="eastAsia" w:ascii="宋体" w:hAnsi="宋体"/>
                <w:sz w:val="24"/>
              </w:rPr>
              <w:t>《全国五一劳动奖状 全国五一劳动奖章 全国工人先锋号评选管理工作暂行办法》（总工</w:t>
            </w:r>
            <w:r>
              <w:rPr>
                <w:rFonts w:hint="eastAsia" w:ascii="宋体" w:hAnsi="宋体"/>
                <w:color w:val="auto"/>
                <w:sz w:val="24"/>
              </w:rPr>
              <w:t>发[2011]</w:t>
            </w:r>
            <w:r>
              <w:rPr>
                <w:rFonts w:hint="eastAsia" w:ascii="宋体" w:hAnsi="宋体"/>
                <w:sz w:val="24"/>
              </w:rPr>
              <w:t>77号）</w:t>
            </w:r>
          </w:p>
          <w:p>
            <w:pPr>
              <w:spacing w:line="300" w:lineRule="exact"/>
              <w:rPr>
                <w:rFonts w:hint="eastAsia" w:ascii="宋体" w:hAnsi="宋体"/>
                <w:sz w:val="24"/>
              </w:rPr>
            </w:pPr>
            <w:r>
              <w:rPr>
                <w:rFonts w:hint="eastAsia" w:ascii="宋体" w:hAnsi="宋体"/>
                <w:sz w:val="24"/>
              </w:rPr>
              <w:t>第七条 评选全国五一劳动奖状、全国五一劳动奖章、全国工人先锋号要面向基层、面向一线职工、坚持公开、公平、公正的原则，严格推荐评选审批程序，接受群众监督。</w:t>
            </w:r>
          </w:p>
          <w:p>
            <w:pPr>
              <w:spacing w:line="300" w:lineRule="exact"/>
              <w:rPr>
                <w:rFonts w:hint="eastAsia" w:ascii="宋体" w:hAnsi="宋体"/>
                <w:sz w:val="24"/>
              </w:rPr>
            </w:pPr>
            <w:r>
              <w:rPr>
                <w:rFonts w:hint="eastAsia" w:ascii="宋体" w:hAnsi="宋体"/>
                <w:sz w:val="24"/>
              </w:rPr>
              <w:t>（四）有拖欠职工工资，欠缴职工养老、工伤、医疗、失业、生育保险，违反国家计划生育政策，未组建工会，未建立职代会和集体合同制度，劳动关系不和谐，能源消耗超标，环境污染严重等情形之一的企业和企业负责人当年不得申报全国五一劳动奖状、全国五一劳动奖章。发生安全生产事故、严重职业危害或群体性事件的企业和企业负责人自发起三年内不得申报全国五一劳动奖状、全国五一劳动奖章。</w:t>
            </w:r>
          </w:p>
          <w:p>
            <w:pPr>
              <w:spacing w:line="340" w:lineRule="exact"/>
              <w:rPr>
                <w:rFonts w:hint="eastAsia" w:ascii="宋体" w:hAnsi="宋体"/>
                <w:sz w:val="24"/>
              </w:rPr>
            </w:pPr>
            <w:r>
              <w:rPr>
                <w:rFonts w:hint="eastAsia" w:ascii="宋体" w:hAnsi="宋体"/>
                <w:sz w:val="24"/>
              </w:rPr>
              <w:t>《国务院关于促进市场公平竞争维护市场正常秩序的若干意见》（国发</w:t>
            </w:r>
            <w:r>
              <w:rPr>
                <w:rFonts w:hint="eastAsia" w:ascii="宋体" w:hAnsi="宋体"/>
                <w:color w:val="auto"/>
                <w:sz w:val="24"/>
              </w:rPr>
              <w:t>[2014]</w:t>
            </w:r>
            <w:r>
              <w:rPr>
                <w:rFonts w:hint="eastAsia" w:ascii="宋体" w:hAnsi="宋体"/>
                <w:sz w:val="24"/>
              </w:rPr>
              <w:t>20号）</w:t>
            </w:r>
          </w:p>
          <w:p>
            <w:pPr>
              <w:spacing w:line="340" w:lineRule="exact"/>
              <w:rPr>
                <w:rFonts w:hint="eastAsia" w:ascii="宋体" w:hAnsi="宋体"/>
                <w:sz w:val="24"/>
              </w:rPr>
            </w:pPr>
            <w:r>
              <w:rPr>
                <w:rFonts w:hint="eastAsia" w:ascii="宋体" w:hAnsi="宋体"/>
                <w:sz w:val="24"/>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1559" w:type="dxa"/>
            <w:noWrap w:val="0"/>
            <w:vAlign w:val="top"/>
          </w:tcPr>
          <w:p>
            <w:pPr>
              <w:numPr>
                <w:ins w:id="37" w:author="潘艺芳" w:date="2019-09-25T20:46:00Z"/>
              </w:numPr>
              <w:rPr>
                <w:rFonts w:hint="eastAsia" w:ascii="宋体" w:hAnsi="宋体"/>
                <w:sz w:val="24"/>
              </w:rPr>
            </w:pPr>
          </w:p>
          <w:p>
            <w:pPr>
              <w:numPr>
                <w:ins w:id="38" w:author="潘艺芳" w:date="2019-09-25T20:46:00Z"/>
              </w:numPr>
              <w:rPr>
                <w:rFonts w:hint="eastAsia" w:ascii="宋体" w:hAnsi="宋体"/>
                <w:sz w:val="24"/>
              </w:rPr>
            </w:pPr>
          </w:p>
          <w:p>
            <w:pPr>
              <w:numPr>
                <w:ins w:id="39" w:author="潘艺芳" w:date="2019-09-25T20:46:00Z"/>
              </w:numPr>
              <w:rPr>
                <w:rFonts w:hint="eastAsia" w:ascii="宋体" w:hAnsi="宋体"/>
                <w:sz w:val="24"/>
              </w:rPr>
            </w:pPr>
          </w:p>
          <w:p>
            <w:pPr>
              <w:numPr>
                <w:ins w:id="40" w:author="潘艺芳" w:date="2019-09-25T20:46:00Z"/>
              </w:numPr>
              <w:rPr>
                <w:rFonts w:hint="eastAsia" w:ascii="宋体" w:hAnsi="宋体"/>
                <w:sz w:val="24"/>
              </w:rPr>
            </w:pPr>
          </w:p>
          <w:p>
            <w:pPr>
              <w:numPr>
                <w:ins w:id="41" w:author="潘艺芳" w:date="2019-09-25T20:46:00Z"/>
              </w:numPr>
              <w:rPr>
                <w:rFonts w:hint="eastAsia" w:ascii="宋体" w:hAnsi="宋体"/>
                <w:sz w:val="24"/>
              </w:rPr>
            </w:pPr>
          </w:p>
          <w:p>
            <w:pPr>
              <w:numPr>
                <w:ins w:id="42" w:author="潘艺芳" w:date="2019-09-25T20:46:00Z"/>
              </w:numPr>
              <w:rPr>
                <w:rFonts w:hint="eastAsia" w:ascii="宋体" w:hAnsi="宋体"/>
                <w:sz w:val="24"/>
              </w:rPr>
            </w:pPr>
          </w:p>
          <w:p>
            <w:pPr>
              <w:numPr>
                <w:ins w:id="43" w:author="潘艺芳" w:date="2019-09-25T20:46:00Z"/>
              </w:numPr>
              <w:rPr>
                <w:rFonts w:hint="eastAsia" w:ascii="宋体" w:hAnsi="宋体"/>
                <w:sz w:val="24"/>
              </w:rPr>
            </w:pPr>
          </w:p>
          <w:p>
            <w:pPr>
              <w:numPr>
                <w:ins w:id="44" w:author="潘艺芳" w:date="2019-09-25T20:46:00Z"/>
              </w:numPr>
              <w:rPr>
                <w:rFonts w:hint="eastAsia" w:ascii="宋体" w:hAnsi="宋体"/>
                <w:sz w:val="24"/>
              </w:rPr>
            </w:pPr>
          </w:p>
          <w:p>
            <w:pPr>
              <w:rPr>
                <w:rFonts w:hint="eastAsia" w:ascii="宋体" w:hAnsi="宋体"/>
                <w:sz w:val="24"/>
              </w:rPr>
            </w:pPr>
            <w:r>
              <w:rPr>
                <w:rFonts w:hint="eastAsia" w:ascii="宋体" w:hAnsi="宋体"/>
                <w:sz w:val="24"/>
              </w:rPr>
              <w:t>市文明办、市总工会、共青团市委、市妇联等有关单位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rPr>
                <w:rFonts w:hint="eastAsia" w:ascii="宋体" w:hAnsi="宋体"/>
                <w:sz w:val="24"/>
              </w:rPr>
            </w:pPr>
            <w:r>
              <w:rPr>
                <w:rFonts w:hint="eastAsia" w:ascii="宋体" w:hAnsi="宋体"/>
                <w:sz w:val="24"/>
              </w:rPr>
              <w:t>（七）将严重危害正常医疗秩序的失信行为人纳入全国信用信息共享平台并通报其所在单位</w:t>
            </w:r>
          </w:p>
        </w:tc>
        <w:tc>
          <w:tcPr>
            <w:tcW w:w="5528" w:type="dxa"/>
            <w:noWrap w:val="0"/>
            <w:vAlign w:val="center"/>
          </w:tcPr>
          <w:p>
            <w:pPr>
              <w:spacing w:line="340" w:lineRule="exact"/>
              <w:rPr>
                <w:rFonts w:hint="eastAsia" w:ascii="宋体" w:hAnsi="宋体"/>
                <w:sz w:val="24"/>
              </w:rPr>
            </w:pPr>
            <w:r>
              <w:rPr>
                <w:rFonts w:hint="eastAsia" w:ascii="宋体" w:hAnsi="宋体"/>
                <w:sz w:val="24"/>
              </w:rPr>
              <w:t>《严密防控涉医违法犯罪维护正常医疗秩序的意见》第十条</w:t>
            </w:r>
          </w:p>
          <w:p>
            <w:pPr>
              <w:spacing w:line="340" w:lineRule="exact"/>
              <w:rPr>
                <w:rFonts w:hint="eastAsia" w:ascii="宋体" w:hAnsi="宋体"/>
                <w:sz w:val="24"/>
              </w:rPr>
            </w:pPr>
            <w:r>
              <w:rPr>
                <w:rFonts w:hint="eastAsia" w:ascii="宋体" w:hAnsi="宋体"/>
                <w:sz w:val="24"/>
              </w:rPr>
              <w:t>卫生计生行政部门、公安机关应当将涉医违法犯罪行为人纳入社会信用体系，依法依规施行联合惩戒并通报其所在单位，卫生计生行政部门、公安机关应当建立涉医违法犯罪案件处置督办通报机制。涉医违法犯罪处置的考核评价工作由上级部门组织，并将医务人员、患者对维护医疗秩序工作的满意度纳入评价体系。</w:t>
            </w:r>
          </w:p>
        </w:tc>
        <w:tc>
          <w:tcPr>
            <w:tcW w:w="1559" w:type="dxa"/>
            <w:noWrap w:val="0"/>
            <w:vAlign w:val="center"/>
          </w:tcPr>
          <w:p>
            <w:pPr>
              <w:rPr>
                <w:rFonts w:hint="eastAsia" w:ascii="宋体" w:hAnsi="宋体"/>
                <w:sz w:val="24"/>
              </w:rPr>
            </w:pPr>
            <w:r>
              <w:rPr>
                <w:rFonts w:hint="eastAsia" w:ascii="宋体" w:hAnsi="宋体"/>
                <w:sz w:val="24"/>
              </w:rPr>
              <w:t>市卫生健康委、市公安局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rPr>
                <w:rFonts w:hint="eastAsia" w:ascii="宋体" w:hAnsi="宋体"/>
                <w:sz w:val="24"/>
              </w:rPr>
            </w:pPr>
            <w:r>
              <w:rPr>
                <w:rFonts w:hint="eastAsia" w:ascii="宋体" w:hAnsi="宋体"/>
                <w:sz w:val="24"/>
              </w:rPr>
              <w:t>（八）将严重危害正常医疗秩序的失信行为责任人通过“信用中国”网站及市属主要新闻网站等向社会公布</w:t>
            </w:r>
          </w:p>
        </w:tc>
        <w:tc>
          <w:tcPr>
            <w:tcW w:w="5528" w:type="dxa"/>
            <w:noWrap w:val="0"/>
            <w:vAlign w:val="center"/>
          </w:tcPr>
          <w:p>
            <w:pPr>
              <w:spacing w:line="320" w:lineRule="exact"/>
              <w:rPr>
                <w:rFonts w:hint="eastAsia" w:ascii="宋体" w:hAnsi="宋体"/>
                <w:sz w:val="24"/>
              </w:rPr>
            </w:pPr>
            <w:r>
              <w:rPr>
                <w:rFonts w:hint="eastAsia" w:ascii="宋体" w:hAnsi="宋体"/>
                <w:sz w:val="24"/>
              </w:rPr>
              <w:t>《国务院关于印发社会信用体系建设规划纲要（2014-2020年）的通知》（国发</w:t>
            </w:r>
            <w:r>
              <w:rPr>
                <w:rFonts w:hint="eastAsia" w:ascii="宋体" w:hAnsi="宋体"/>
                <w:color w:val="auto"/>
                <w:sz w:val="24"/>
              </w:rPr>
              <w:t>[2014]</w:t>
            </w:r>
            <w:r>
              <w:rPr>
                <w:rFonts w:hint="eastAsia" w:ascii="宋体" w:hAnsi="宋体"/>
                <w:sz w:val="24"/>
              </w:rPr>
              <w:t>21号）完善社会舆论监督机制，加强对失信行为的披露和曝光，发挥群众评议讨论、批评报道等作用，通过社会的道德谴责，形成社会震慑力，约束社会成员的失信行为。</w:t>
            </w:r>
          </w:p>
          <w:p>
            <w:pPr>
              <w:spacing w:line="320" w:lineRule="exact"/>
              <w:rPr>
                <w:rFonts w:hint="eastAsia" w:ascii="宋体" w:hAnsi="宋体"/>
                <w:sz w:val="24"/>
              </w:rPr>
            </w:pPr>
            <w:r>
              <w:rPr>
                <w:rFonts w:hint="eastAsia" w:ascii="宋体" w:hAnsi="宋体"/>
                <w:sz w:val="24"/>
              </w:rPr>
              <w:t>《中华人民共和国政府信息公开条例》</w:t>
            </w:r>
          </w:p>
          <w:p>
            <w:pPr>
              <w:spacing w:line="320" w:lineRule="exact"/>
              <w:rPr>
                <w:rFonts w:hint="eastAsia" w:ascii="宋体" w:hAnsi="宋体"/>
                <w:sz w:val="24"/>
              </w:rPr>
            </w:pPr>
            <w:r>
              <w:rPr>
                <w:rFonts w:hint="eastAsia" w:ascii="宋体" w:hAnsi="宋体"/>
                <w:sz w:val="24"/>
              </w:rPr>
              <w:t>第九条 行政机关对符合下列基本要求之一的政府信息应当主动公开：</w:t>
            </w:r>
          </w:p>
          <w:p>
            <w:pPr>
              <w:spacing w:line="320" w:lineRule="exact"/>
              <w:rPr>
                <w:rFonts w:hint="eastAsia" w:ascii="宋体" w:hAnsi="宋体"/>
                <w:sz w:val="24"/>
              </w:rPr>
            </w:pPr>
            <w:r>
              <w:rPr>
                <w:rFonts w:hint="eastAsia" w:ascii="宋体" w:hAnsi="宋体"/>
                <w:sz w:val="24"/>
              </w:rPr>
              <w:t>（1）涉及公民、法人或者其他组织切身利益的；</w:t>
            </w:r>
          </w:p>
          <w:p>
            <w:pPr>
              <w:spacing w:line="320" w:lineRule="exact"/>
              <w:rPr>
                <w:rFonts w:hint="eastAsia" w:ascii="宋体" w:hAnsi="宋体"/>
                <w:sz w:val="24"/>
              </w:rPr>
            </w:pPr>
            <w:r>
              <w:rPr>
                <w:rFonts w:hint="eastAsia" w:ascii="宋体" w:hAnsi="宋体"/>
                <w:sz w:val="24"/>
              </w:rPr>
              <w:t>（2）需要社会公众广泛知晓或者参与的；</w:t>
            </w:r>
          </w:p>
          <w:p>
            <w:pPr>
              <w:spacing w:line="320" w:lineRule="exact"/>
              <w:rPr>
                <w:rFonts w:hint="eastAsia" w:ascii="宋体" w:hAnsi="宋体"/>
                <w:sz w:val="24"/>
              </w:rPr>
            </w:pPr>
            <w:r>
              <w:rPr>
                <w:rFonts w:hint="eastAsia" w:ascii="宋体" w:hAnsi="宋体"/>
                <w:sz w:val="24"/>
              </w:rPr>
              <w:t>（3）反映本行政机关机构设置、职能、办事程序等情况的；</w:t>
            </w:r>
          </w:p>
          <w:p>
            <w:pPr>
              <w:spacing w:line="340" w:lineRule="exact"/>
              <w:rPr>
                <w:rFonts w:hint="eastAsia" w:ascii="宋体" w:hAnsi="宋体"/>
                <w:sz w:val="24"/>
              </w:rPr>
            </w:pPr>
            <w:r>
              <w:rPr>
                <w:rFonts w:hint="eastAsia" w:ascii="宋体" w:hAnsi="宋体"/>
                <w:sz w:val="24"/>
              </w:rPr>
              <w:t>（4）其他依照法律、法规和国家有关规定应当主动公开的。</w:t>
            </w:r>
          </w:p>
        </w:tc>
        <w:tc>
          <w:tcPr>
            <w:tcW w:w="1559" w:type="dxa"/>
            <w:noWrap w:val="0"/>
            <w:vAlign w:val="center"/>
          </w:tcPr>
          <w:p>
            <w:pPr>
              <w:rPr>
                <w:rFonts w:hint="eastAsia" w:ascii="宋体" w:hAnsi="宋体"/>
                <w:sz w:val="24"/>
              </w:rPr>
            </w:pPr>
            <w:r>
              <w:rPr>
                <w:rFonts w:hint="eastAsia" w:ascii="宋体" w:hAnsi="宋体"/>
                <w:sz w:val="24"/>
              </w:rPr>
              <w:t>市委宣传部、</w:t>
            </w:r>
          </w:p>
          <w:p>
            <w:pPr>
              <w:rPr>
                <w:rFonts w:hint="eastAsia" w:ascii="宋体" w:hAnsi="宋体"/>
                <w:sz w:val="24"/>
              </w:rPr>
            </w:pPr>
            <w:r>
              <w:rPr>
                <w:rFonts w:hint="eastAsia" w:ascii="宋体" w:hAnsi="宋体"/>
                <w:sz w:val="24"/>
              </w:rPr>
              <w:t>市委网信办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top"/>
          </w:tcPr>
          <w:p>
            <w:pPr>
              <w:numPr>
                <w:ins w:id="45" w:author="潘艺芳" w:date="2019-09-25T20:46:00Z"/>
              </w:numPr>
              <w:rPr>
                <w:rFonts w:hint="eastAsia" w:ascii="宋体" w:hAnsi="宋体"/>
                <w:sz w:val="24"/>
              </w:rPr>
            </w:pPr>
          </w:p>
          <w:p>
            <w:pPr>
              <w:numPr>
                <w:ins w:id="46" w:author="潘艺芳" w:date="2019-09-25T20:46:00Z"/>
              </w:numPr>
              <w:rPr>
                <w:rFonts w:hint="eastAsia" w:ascii="宋体" w:hAnsi="宋体"/>
                <w:sz w:val="24"/>
              </w:rPr>
            </w:pPr>
          </w:p>
          <w:p>
            <w:pPr>
              <w:numPr>
                <w:ins w:id="47" w:author="邝美云" w:date="2019-12-17T10:40:00Z"/>
              </w:numPr>
              <w:rPr>
                <w:rFonts w:hint="eastAsia" w:ascii="宋体" w:hAnsi="宋体"/>
                <w:sz w:val="24"/>
              </w:rPr>
            </w:pPr>
          </w:p>
          <w:p>
            <w:pPr>
              <w:numPr>
                <w:ins w:id="48" w:author="邝美云" w:date="2019-12-17T10:40:00Z"/>
              </w:numPr>
              <w:rPr>
                <w:rFonts w:hint="eastAsia" w:ascii="宋体" w:hAnsi="宋体"/>
                <w:sz w:val="24"/>
              </w:rPr>
            </w:pPr>
          </w:p>
          <w:p>
            <w:pPr>
              <w:numPr>
                <w:ins w:id="49" w:author="邝美云" w:date="2019-12-17T10:40:00Z"/>
              </w:numPr>
              <w:rPr>
                <w:rFonts w:hint="eastAsia" w:ascii="宋体" w:hAnsi="宋体"/>
                <w:sz w:val="24"/>
              </w:rPr>
            </w:pPr>
          </w:p>
          <w:p>
            <w:pPr>
              <w:numPr>
                <w:ins w:id="50" w:author="邝美云" w:date="2019-12-17T10:40:00Z"/>
              </w:numPr>
              <w:rPr>
                <w:rFonts w:hint="eastAsia" w:ascii="宋体" w:hAnsi="宋体"/>
                <w:sz w:val="24"/>
              </w:rPr>
            </w:pPr>
          </w:p>
          <w:p>
            <w:pPr>
              <w:numPr>
                <w:ins w:id="51" w:author="邝美云" w:date="2019-12-17T10:40:00Z"/>
              </w:numPr>
              <w:rPr>
                <w:rFonts w:hint="eastAsia" w:ascii="宋体" w:hAnsi="宋体"/>
                <w:sz w:val="24"/>
              </w:rPr>
            </w:pPr>
          </w:p>
          <w:p>
            <w:pPr>
              <w:numPr>
                <w:ins w:id="52" w:author="邝美云" w:date="2019-12-17T10:40:00Z"/>
              </w:numPr>
              <w:rPr>
                <w:rFonts w:hint="eastAsia" w:ascii="宋体" w:hAnsi="宋体"/>
                <w:sz w:val="24"/>
              </w:rPr>
            </w:pPr>
          </w:p>
          <w:p>
            <w:pPr>
              <w:numPr>
                <w:ins w:id="53" w:author="邝美云" w:date="2019-12-17T10:40:00Z"/>
              </w:numPr>
              <w:rPr>
                <w:rFonts w:hint="eastAsia" w:ascii="宋体" w:hAnsi="宋体"/>
                <w:sz w:val="24"/>
              </w:rPr>
            </w:pPr>
          </w:p>
          <w:p>
            <w:pPr>
              <w:numPr>
                <w:ins w:id="54" w:author="邝美云" w:date="2019-12-17T10:40:00Z"/>
              </w:numPr>
              <w:rPr>
                <w:rFonts w:hint="eastAsia" w:ascii="宋体" w:hAnsi="宋体"/>
                <w:sz w:val="24"/>
              </w:rPr>
            </w:pPr>
          </w:p>
          <w:p>
            <w:pPr>
              <w:numPr>
                <w:ins w:id="55" w:author="邝美云" w:date="2019-12-17T10:40:00Z"/>
              </w:numPr>
              <w:rPr>
                <w:rFonts w:hint="eastAsia" w:ascii="宋体" w:hAnsi="宋体"/>
                <w:sz w:val="24"/>
              </w:rPr>
            </w:pPr>
          </w:p>
          <w:p>
            <w:pPr>
              <w:numPr>
                <w:ins w:id="56" w:author="邝美云" w:date="2019-12-17T10:40:00Z"/>
              </w:numPr>
              <w:rPr>
                <w:rFonts w:hint="eastAsia" w:ascii="宋体" w:hAnsi="宋体"/>
                <w:sz w:val="24"/>
              </w:rPr>
            </w:pPr>
          </w:p>
          <w:p>
            <w:pPr>
              <w:numPr>
                <w:ins w:id="57" w:author="邝美云" w:date="2019-12-17T10:40:00Z"/>
              </w:numPr>
              <w:rPr>
                <w:rFonts w:hint="eastAsia" w:ascii="宋体" w:hAnsi="宋体"/>
                <w:sz w:val="24"/>
              </w:rPr>
            </w:pPr>
          </w:p>
          <w:p>
            <w:pPr>
              <w:numPr>
                <w:ins w:id="58" w:author="邝美云" w:date="2019-12-17T10:40:00Z"/>
              </w:numPr>
              <w:rPr>
                <w:rFonts w:hint="eastAsia" w:ascii="宋体" w:hAnsi="宋体"/>
                <w:sz w:val="24"/>
              </w:rPr>
            </w:pPr>
          </w:p>
          <w:p>
            <w:pPr>
              <w:numPr>
                <w:ins w:id="59" w:author="邝美云" w:date="2019-12-17T10:40:00Z"/>
              </w:numPr>
              <w:rPr>
                <w:rFonts w:hint="eastAsia" w:ascii="宋体" w:hAnsi="宋体"/>
                <w:sz w:val="24"/>
              </w:rPr>
            </w:pPr>
          </w:p>
          <w:p>
            <w:pPr>
              <w:numPr>
                <w:ins w:id="60" w:author="邝美云" w:date="2019-12-17T10:40:00Z"/>
              </w:numPr>
              <w:rPr>
                <w:rFonts w:hint="eastAsia" w:ascii="宋体" w:hAnsi="宋体"/>
                <w:sz w:val="24"/>
              </w:rPr>
            </w:pPr>
          </w:p>
          <w:p>
            <w:pPr>
              <w:numPr>
                <w:ins w:id="61" w:author="潘艺芳" w:date="2019-09-25T20:46:00Z"/>
              </w:numPr>
              <w:rPr>
                <w:rFonts w:hint="eastAsia" w:ascii="宋体" w:hAnsi="宋体"/>
                <w:sz w:val="24"/>
              </w:rPr>
            </w:pPr>
          </w:p>
          <w:p>
            <w:pPr>
              <w:rPr>
                <w:rFonts w:hint="eastAsia" w:ascii="宋体" w:hAnsi="宋体"/>
                <w:sz w:val="24"/>
              </w:rPr>
            </w:pPr>
            <w:r>
              <w:rPr>
                <w:rFonts w:hint="eastAsia" w:ascii="宋体" w:hAnsi="宋体"/>
                <w:sz w:val="24"/>
              </w:rPr>
              <w:t>（九）限制取得认证机构资质</w:t>
            </w:r>
          </w:p>
        </w:tc>
        <w:tc>
          <w:tcPr>
            <w:tcW w:w="5528" w:type="dxa"/>
            <w:noWrap w:val="0"/>
            <w:vAlign w:val="top"/>
          </w:tcPr>
          <w:p>
            <w:pPr>
              <w:rPr>
                <w:rFonts w:hint="eastAsia" w:ascii="宋体" w:hAnsi="宋体"/>
                <w:sz w:val="24"/>
              </w:rPr>
            </w:pPr>
            <w:r>
              <w:rPr>
                <w:rFonts w:hint="eastAsia" w:ascii="宋体" w:hAnsi="宋体"/>
                <w:sz w:val="24"/>
              </w:rPr>
              <w:t>《中共中央办公厅 国务院办公厅印发&lt;关于加快推进失信被执行人信用监督、警示和惩戒机制建设的意见&gt;的通知》（中办发</w:t>
            </w:r>
            <w:r>
              <w:rPr>
                <w:rFonts w:hint="eastAsia" w:ascii="宋体" w:hAnsi="宋体"/>
                <w:color w:val="auto"/>
                <w:sz w:val="24"/>
              </w:rPr>
              <w:t>[2016]</w:t>
            </w:r>
            <w:r>
              <w:rPr>
                <w:rFonts w:hint="eastAsia" w:ascii="宋体" w:hAnsi="宋体"/>
                <w:sz w:val="24"/>
              </w:rPr>
              <w:t>64号）</w:t>
            </w:r>
          </w:p>
          <w:p>
            <w:pPr>
              <w:rPr>
                <w:rFonts w:hint="eastAsia" w:ascii="宋体" w:hAnsi="宋体"/>
                <w:sz w:val="24"/>
              </w:rPr>
            </w:pPr>
            <w:r>
              <w:rPr>
                <w:rFonts w:hint="eastAsia" w:ascii="宋体" w:hAnsi="宋体"/>
                <w:sz w:val="24"/>
              </w:rPr>
              <w:t>“（四）准入资格限制，限制失信被执行人从事危险化学品生产经营存储、烟花爆竹生产经营、矿山生产和安全评价、认证、监测、检验等行业；限制失信被执行人担任上述行业单位主要负责人及董事、监事、高级管理人员，已担任相关职务的，按规定程序要求予以变更。”</w:t>
            </w:r>
          </w:p>
          <w:p>
            <w:pPr>
              <w:spacing w:line="360" w:lineRule="exact"/>
              <w:rPr>
                <w:rFonts w:hint="eastAsia" w:ascii="宋体" w:hAnsi="宋体"/>
                <w:sz w:val="24"/>
              </w:rPr>
            </w:pPr>
            <w:r>
              <w:rPr>
                <w:rFonts w:hint="eastAsia" w:ascii="宋体" w:hAnsi="宋体"/>
                <w:sz w:val="24"/>
              </w:rPr>
              <w:t>《国务院关于印发社会信用体系建设规划纲要（2014-2020年）的通知》（国发</w:t>
            </w:r>
            <w:r>
              <w:rPr>
                <w:rFonts w:hint="eastAsia" w:ascii="宋体" w:hAnsi="宋体"/>
                <w:color w:val="auto"/>
                <w:sz w:val="24"/>
              </w:rPr>
              <w:t>[2014]</w:t>
            </w:r>
            <w:r>
              <w:rPr>
                <w:rFonts w:hint="eastAsia" w:ascii="宋体" w:hAnsi="宋体"/>
                <w:sz w:val="24"/>
              </w:rPr>
              <w:t>21号）发挥政府诚信建设示范作用。各级人民政府首先要加强自身诚信建设，以政府的诚信施政，带动全社会诚信意识的树立和诚信水平的提高。在行政许可、政府采购、招标投标、劳动就业、社会保障、科研管理、干部选拔任用和管理监督、申请政府资金支持等领域，率先使用信用信息和信用产品，培育信用服务市场发展。</w:t>
            </w:r>
          </w:p>
          <w:p>
            <w:pPr>
              <w:spacing w:line="360" w:lineRule="exact"/>
              <w:rPr>
                <w:rFonts w:hint="eastAsia" w:ascii="宋体" w:hAnsi="宋体"/>
                <w:sz w:val="24"/>
              </w:rPr>
            </w:pPr>
            <w:r>
              <w:rPr>
                <w:rFonts w:hint="eastAsia" w:ascii="宋体" w:hAnsi="宋体"/>
                <w:sz w:val="24"/>
              </w:rPr>
              <w:t>中介服务行业信用建设。建立完善中介服务机构及其从业人员的信用记录和披露制度，并作为市场行政执法部门实施信用分类管理的重要依据。重点加强公证仲裁类、律师类、会计类、但</w:t>
            </w:r>
            <w:r>
              <w:rPr>
                <w:rFonts w:hint="eastAsia" w:ascii="宋体" w:hAnsi="宋体"/>
                <w:color w:val="auto"/>
                <w:sz w:val="24"/>
              </w:rPr>
              <w:t>保</w:t>
            </w:r>
            <w:r>
              <w:rPr>
                <w:rFonts w:hint="eastAsia" w:ascii="宋体" w:hAnsi="宋体"/>
                <w:sz w:val="24"/>
              </w:rPr>
              <w:t>类、鉴证类、检验检测类、评估类、认证类、代理类、经纪类、职业介绍类、咨询类、交易类等机构信用分类管理，探索建立科学合理的评估指标体系、评估制度和工作机制。</w:t>
            </w:r>
          </w:p>
          <w:p>
            <w:pPr>
              <w:spacing w:line="360" w:lineRule="exact"/>
              <w:rPr>
                <w:rFonts w:hint="eastAsia" w:ascii="宋体" w:hAnsi="宋体"/>
                <w:sz w:val="24"/>
              </w:rPr>
            </w:pPr>
            <w:r>
              <w:rPr>
                <w:rFonts w:hint="eastAsia" w:ascii="宋体" w:hAnsi="宋体"/>
                <w:sz w:val="24"/>
              </w:rPr>
              <w:t>《国务院关于促进市场公平竞争维护市场正常秩序的若干意见》（国法</w:t>
            </w:r>
            <w:r>
              <w:rPr>
                <w:rFonts w:hint="eastAsia" w:ascii="宋体" w:hAnsi="宋体"/>
                <w:color w:val="auto"/>
                <w:sz w:val="24"/>
              </w:rPr>
              <w:t>[2014]</w:t>
            </w:r>
            <w:r>
              <w:rPr>
                <w:rFonts w:hint="eastAsia" w:ascii="宋体" w:hAnsi="宋体"/>
                <w:sz w:val="24"/>
              </w:rPr>
              <w:t>20号）</w:t>
            </w:r>
          </w:p>
          <w:p>
            <w:pPr>
              <w:spacing w:line="360" w:lineRule="exact"/>
              <w:rPr>
                <w:rFonts w:hint="eastAsia" w:ascii="宋体" w:hAnsi="宋体"/>
                <w:sz w:val="24"/>
              </w:rPr>
            </w:pPr>
            <w:r>
              <w:rPr>
                <w:rFonts w:hint="eastAsia" w:ascii="宋体" w:hAnsi="宋体"/>
                <w:sz w:val="24"/>
              </w:rPr>
              <w:t>建立健全守信激励和失信惩戒机制，对失信主体在经营、投融资、取得政府供应土地、进出口、出入境、注册新公司、工程招投标、政府采购、获得荣誉、安全许可、生产许可、从业任职资格、资质审核等方面依法予以限制或禁止，对严重失信主体实行市场禁入制度。</w:t>
            </w:r>
          </w:p>
          <w:p>
            <w:pPr>
              <w:rPr>
                <w:rFonts w:hint="eastAsia" w:ascii="宋体" w:hAnsi="宋体"/>
                <w:sz w:val="24"/>
              </w:rPr>
            </w:pPr>
            <w:r>
              <w:rPr>
                <w:rFonts w:hint="eastAsia" w:ascii="宋体" w:hAnsi="宋体"/>
                <w:sz w:val="24"/>
              </w:rPr>
              <w:t>《中华人民共和国认证认可条例》</w:t>
            </w:r>
          </w:p>
          <w:p>
            <w:pPr>
              <w:rPr>
                <w:rFonts w:hint="eastAsia" w:ascii="宋体" w:hAnsi="宋体"/>
                <w:sz w:val="24"/>
              </w:rPr>
            </w:pPr>
            <w:r>
              <w:rPr>
                <w:rFonts w:hint="eastAsia" w:ascii="宋体" w:hAnsi="宋体"/>
                <w:sz w:val="24"/>
              </w:rPr>
              <w:t>第六条 认证认可活动应当遵守客观独立、公开公正、诚实信用的原则。</w:t>
            </w:r>
          </w:p>
        </w:tc>
        <w:tc>
          <w:tcPr>
            <w:tcW w:w="1559" w:type="dxa"/>
            <w:noWrap w:val="0"/>
            <w:vAlign w:val="top"/>
          </w:tcPr>
          <w:p>
            <w:pPr>
              <w:numPr>
                <w:ins w:id="62" w:author="潘艺芳" w:date="2019-09-25T20:46:00Z"/>
              </w:numPr>
              <w:rPr>
                <w:rFonts w:hint="eastAsia" w:ascii="宋体" w:hAnsi="宋体"/>
                <w:sz w:val="24"/>
              </w:rPr>
            </w:pPr>
          </w:p>
          <w:p>
            <w:pPr>
              <w:numPr>
                <w:ins w:id="63" w:author="潘艺芳" w:date="2019-09-25T20:46:00Z"/>
              </w:numPr>
              <w:rPr>
                <w:rFonts w:hint="eastAsia" w:ascii="宋体" w:hAnsi="宋体"/>
                <w:sz w:val="24"/>
              </w:rPr>
            </w:pPr>
          </w:p>
          <w:p>
            <w:pPr>
              <w:numPr>
                <w:ins w:id="64" w:author="潘艺芳" w:date="2019-09-25T20:46:00Z"/>
              </w:numPr>
              <w:rPr>
                <w:rFonts w:hint="eastAsia" w:ascii="宋体" w:hAnsi="宋体"/>
                <w:sz w:val="24"/>
              </w:rPr>
            </w:pPr>
          </w:p>
          <w:p>
            <w:pPr>
              <w:rPr>
                <w:rFonts w:hint="eastAsia" w:ascii="宋体" w:hAnsi="宋体"/>
                <w:sz w:val="24"/>
              </w:rPr>
            </w:pPr>
            <w:r>
              <w:rPr>
                <w:rFonts w:hint="eastAsia" w:ascii="宋体" w:hAnsi="宋体" w:eastAsia="宋体" w:cs="Times New Roman"/>
                <w:sz w:val="24"/>
                <w:szCs w:val="22"/>
              </w:rPr>
              <w:t>市市场监管局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093" w:type="dxa"/>
            <w:noWrap w:val="0"/>
            <w:vAlign w:val="center"/>
          </w:tcPr>
          <w:p>
            <w:pPr>
              <w:rPr>
                <w:rFonts w:hint="eastAsia" w:ascii="宋体" w:hAnsi="宋体"/>
                <w:sz w:val="24"/>
              </w:rPr>
            </w:pPr>
            <w:r>
              <w:rPr>
                <w:rFonts w:hint="eastAsia" w:ascii="宋体" w:hAnsi="宋体"/>
                <w:sz w:val="24"/>
              </w:rPr>
              <w:t>（十）限制享受投资等领域优惠政策</w:t>
            </w:r>
          </w:p>
        </w:tc>
        <w:tc>
          <w:tcPr>
            <w:tcW w:w="5528" w:type="dxa"/>
            <w:noWrap w:val="0"/>
            <w:vAlign w:val="center"/>
          </w:tcPr>
          <w:p>
            <w:pPr>
              <w:spacing w:line="420" w:lineRule="exact"/>
              <w:rPr>
                <w:rFonts w:hint="eastAsia" w:ascii="宋体" w:hAnsi="宋体"/>
                <w:bCs/>
                <w:sz w:val="24"/>
              </w:rPr>
            </w:pPr>
            <w:r>
              <w:rPr>
                <w:rFonts w:hint="eastAsia" w:ascii="宋体" w:hAnsi="宋体"/>
                <w:b w:val="0"/>
                <w:bCs/>
                <w:sz w:val="24"/>
              </w:rPr>
              <w:t>《国务院关于促进市场公平竞争维护市场正常秩序的若干意见》（国发</w:t>
            </w:r>
            <w:r>
              <w:rPr>
                <w:rFonts w:hint="eastAsia" w:ascii="宋体" w:hAnsi="宋体"/>
                <w:b w:val="0"/>
                <w:bCs/>
                <w:color w:val="auto"/>
                <w:sz w:val="24"/>
              </w:rPr>
              <w:t>[2014]</w:t>
            </w:r>
            <w:r>
              <w:rPr>
                <w:rFonts w:hint="eastAsia" w:ascii="宋体" w:hAnsi="宋体"/>
                <w:bCs/>
                <w:sz w:val="24"/>
              </w:rPr>
              <w:t>20号）</w:t>
            </w:r>
          </w:p>
          <w:p>
            <w:pPr>
              <w:spacing w:line="420" w:lineRule="exact"/>
              <w:rPr>
                <w:rFonts w:hint="eastAsia" w:ascii="宋体" w:hAnsi="宋体"/>
                <w:sz w:val="24"/>
              </w:rPr>
            </w:pPr>
            <w:r>
              <w:rPr>
                <w:rFonts w:hint="eastAsia" w:ascii="宋体" w:hAnsi="宋体"/>
                <w:sz w:val="24"/>
              </w:rPr>
              <w:t>建立健全守信激励和失信惩戒机制。将市场主体的信用信息作为实施行政管理的重要参考。根据市场主体信用状况实行分类分级、动态监管，建立健全经营异常名录制度，对违背市场竞争原则和侵犯消费者、劳动者合法权益的市场主体建立“黑名单”制度。对守信主体予以支持和激励，对失信主体在经营、投融资、取得政府供应土地、进出口、出入境、注册新公司、工程招投标、政府采购、获得荣誉、安全许可、生产许可、从业任职资格、资质审核等方面依法予以限制或禁止，对严重违法失信主体实行市场禁入制度。</w:t>
            </w:r>
          </w:p>
        </w:tc>
        <w:tc>
          <w:tcPr>
            <w:tcW w:w="1559" w:type="dxa"/>
            <w:noWrap w:val="0"/>
            <w:vAlign w:val="center"/>
          </w:tcPr>
          <w:p>
            <w:pPr>
              <w:rPr>
                <w:rFonts w:hint="eastAsia" w:ascii="宋体" w:hAnsi="宋体"/>
                <w:sz w:val="24"/>
              </w:rPr>
            </w:pPr>
            <w:r>
              <w:rPr>
                <w:rFonts w:hint="eastAsia" w:ascii="宋体" w:hAnsi="宋体"/>
                <w:sz w:val="24"/>
              </w:rPr>
              <w:t>市发展改革委等有关单位</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邝美云">
    <w15:presenceInfo w15:providerId="None" w15:userId="邝美云"/>
  </w15:person>
  <w15:person w15:author="潘艺芳">
    <w15:presenceInfo w15:providerId="None" w15:userId="潘艺芳"/>
  </w15:person>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BC524E"/>
    <w:rsid w:val="73BC52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2019-12-20T09:03:00Z</dcterms:created>
  <dc:creator>尹妍心</dc:creator>
  <cp:lastModifiedBy>尹妍心</cp:lastModifiedBy>
  <dcterms:modified xsi:type="dcterms:W3CDTF">2019-12-20T09:04:26Z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