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“信用中国”网站行政处罚信息信用修复流程</w:t>
      </w:r>
    </w:p>
    <w:p>
      <w:pPr>
        <w:jc w:val="center"/>
        <w:rPr>
          <w:rFonts w:ascii="宋体" w:hAnsi="宋体" w:cs="宋体"/>
          <w:sz w:val="24"/>
        </w:rPr>
      </w:pPr>
    </w:p>
    <w:p>
      <w:pPr>
        <w:jc w:val="center"/>
        <w:rPr>
          <w:rFonts w:hint="eastAsia" w:ascii="宋体" w:hAnsi="宋体" w:cs="宋体"/>
          <w:sz w:val="24"/>
        </w:rPr>
      </w:pPr>
      <w:r>
        <w:rPr>
          <w:rFonts w:hint="eastAsia" w:ascii="宋体" w:hAnsi="宋体" w:cs="宋体"/>
          <w:sz w:val="24"/>
        </w:rPr>
        <w:drawing>
          <wp:inline distT="0" distB="0" distL="114300" distR="114300">
            <wp:extent cx="5615305" cy="5920740"/>
            <wp:effectExtent l="0" t="0" r="4445" b="3810"/>
            <wp:docPr id="1" name="图片 1" descr="15749315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74931563(1)"/>
                    <pic:cNvPicPr>
                      <a:picLocks noChangeAspect="1"/>
                    </pic:cNvPicPr>
                  </pic:nvPicPr>
                  <pic:blipFill>
                    <a:blip r:embed="rId4"/>
                    <a:stretch>
                      <a:fillRect/>
                    </a:stretch>
                  </pic:blipFill>
                  <pic:spPr>
                    <a:xfrm>
                      <a:off x="0" y="0"/>
                      <a:ext cx="5615305" cy="5920740"/>
                    </a:xfrm>
                    <a:prstGeom prst="rect">
                      <a:avLst/>
                    </a:prstGeom>
                    <a:noFill/>
                    <a:ln w="9525">
                      <a:noFill/>
                    </a:ln>
                  </pic:spPr>
                </pic:pic>
              </a:graphicData>
            </a:graphic>
          </wp:inline>
        </w:drawing>
      </w: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spacing w:after="312" w:afterLines="100"/>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材料清单及说明</w:t>
      </w:r>
    </w:p>
    <w:tbl>
      <w:tblPr>
        <w:tblStyle w:val="4"/>
        <w:tblW w:w="9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0"/>
        <w:gridCol w:w="3092"/>
        <w:gridCol w:w="4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0" w:type="dxa"/>
            <w:vAlign w:val="top"/>
          </w:tcPr>
          <w:p>
            <w:pPr>
              <w:jc w:val="center"/>
              <w:rPr>
                <w:rFonts w:hint="eastAsia" w:ascii="黑体" w:hAnsi="黑体" w:eastAsia="黑体" w:cs="黑体"/>
                <w:sz w:val="28"/>
                <w:szCs w:val="28"/>
              </w:rPr>
            </w:pPr>
            <w:r>
              <w:rPr>
                <w:rFonts w:hint="eastAsia" w:ascii="黑体" w:hAnsi="黑体" w:eastAsia="黑体" w:cs="黑体"/>
                <w:sz w:val="28"/>
                <w:szCs w:val="28"/>
              </w:rPr>
              <w:t>序  号</w:t>
            </w:r>
          </w:p>
        </w:tc>
        <w:tc>
          <w:tcPr>
            <w:tcW w:w="3092" w:type="dxa"/>
            <w:vAlign w:val="top"/>
          </w:tcPr>
          <w:p>
            <w:pPr>
              <w:jc w:val="center"/>
              <w:rPr>
                <w:rFonts w:hint="eastAsia" w:ascii="黑体" w:hAnsi="黑体" w:eastAsia="黑体" w:cs="黑体"/>
                <w:sz w:val="28"/>
                <w:szCs w:val="28"/>
              </w:rPr>
            </w:pPr>
            <w:r>
              <w:rPr>
                <w:rFonts w:hint="eastAsia" w:ascii="黑体" w:hAnsi="黑体" w:eastAsia="黑体" w:cs="黑体"/>
                <w:sz w:val="28"/>
                <w:szCs w:val="28"/>
              </w:rPr>
              <w:t>材料名称</w:t>
            </w:r>
          </w:p>
        </w:tc>
        <w:tc>
          <w:tcPr>
            <w:tcW w:w="4686" w:type="dxa"/>
            <w:vAlign w:val="top"/>
          </w:tcPr>
          <w:p>
            <w:pPr>
              <w:jc w:val="center"/>
              <w:rPr>
                <w:rFonts w:hint="eastAsia" w:ascii="黑体" w:hAnsi="黑体" w:eastAsia="黑体" w:cs="黑体"/>
                <w:sz w:val="28"/>
                <w:szCs w:val="28"/>
              </w:rPr>
            </w:pPr>
            <w:r>
              <w:rPr>
                <w:rFonts w:hint="eastAsia" w:ascii="黑体" w:hAnsi="黑体" w:eastAsia="黑体" w:cs="黑体"/>
                <w:sz w:val="28"/>
                <w:szCs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0"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材料一</w:t>
            </w:r>
          </w:p>
        </w:tc>
        <w:tc>
          <w:tcPr>
            <w:tcW w:w="3092"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信用修复承诺书</w:t>
            </w:r>
          </w:p>
        </w:tc>
        <w:tc>
          <w:tcPr>
            <w:tcW w:w="4686" w:type="dxa"/>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每条行政处罚申请修复时均须单独出具《信用修复承诺书》，且必须由法定代表人亲笔签字，不可使用名章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0"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材料二</w:t>
            </w:r>
          </w:p>
        </w:tc>
        <w:tc>
          <w:tcPr>
            <w:tcW w:w="3092" w:type="dxa"/>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行政相对人主要登记证照复印件加盖公章</w:t>
            </w:r>
          </w:p>
        </w:tc>
        <w:tc>
          <w:tcPr>
            <w:tcW w:w="4686" w:type="dxa"/>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主要包括工商营业执照、事业单位法人证书、社会团体法人登记证书、民办非企业单位登记证书等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0"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材料三</w:t>
            </w:r>
          </w:p>
        </w:tc>
        <w:tc>
          <w:tcPr>
            <w:tcW w:w="3092" w:type="dxa"/>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已履行行政处罚相关证明材料复印件，加盖公章</w:t>
            </w:r>
          </w:p>
        </w:tc>
        <w:tc>
          <w:tcPr>
            <w:tcW w:w="4686" w:type="dxa"/>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主要包括缴交罚款收据、行政处罚机关出具的相关证明材料等；处罚类型为警告的可提供已整改说明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0"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材料四</w:t>
            </w:r>
          </w:p>
        </w:tc>
        <w:tc>
          <w:tcPr>
            <w:tcW w:w="3092" w:type="dxa"/>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由行政处罚机关出具的《涉及一般失信行为的行政处罚信息信用修复决定书》</w:t>
            </w:r>
          </w:p>
        </w:tc>
        <w:tc>
          <w:tcPr>
            <w:tcW w:w="4686"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0"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材料五</w:t>
            </w:r>
          </w:p>
        </w:tc>
        <w:tc>
          <w:tcPr>
            <w:tcW w:w="3092" w:type="dxa"/>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主动参加信用修复培训的证明材料</w:t>
            </w:r>
          </w:p>
        </w:tc>
        <w:tc>
          <w:tcPr>
            <w:tcW w:w="4686" w:type="dxa"/>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需参加信用主管部门或授权培训机构举办的专题培训且取得证明材料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0"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材料六</w:t>
            </w:r>
          </w:p>
        </w:tc>
        <w:tc>
          <w:tcPr>
            <w:tcW w:w="3092"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信用报告</w:t>
            </w:r>
          </w:p>
        </w:tc>
        <w:tc>
          <w:tcPr>
            <w:tcW w:w="4686"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8B4056"/>
    <w:rsid w:val="428B4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2020-05-09T09:00:00Z</dcterms:created>
  <dc:creator>采编编辑1589014254485</dc:creator>
  <cp:lastModifiedBy>采编编辑1589014254485</cp:lastModifiedBy>
  <dcterms:modified xsi:type="dcterms:W3CDTF">2020-05-09T09:00:22Z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